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A127" w14:textId="77777777" w:rsidR="008C75CC" w:rsidRPr="00894190" w:rsidRDefault="008C75CC" w:rsidP="008C75CC">
      <w:pPr>
        <w:tabs>
          <w:tab w:val="left" w:pos="2415"/>
          <w:tab w:val="center" w:pos="523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894190">
        <w:rPr>
          <w:rFonts w:cstheme="minorHAnsi"/>
          <w:b/>
          <w:bCs/>
        </w:rPr>
        <w:t>South African National Essential Medicine List</w:t>
      </w:r>
    </w:p>
    <w:p w14:paraId="6E8B3200" w14:textId="695D8A6F" w:rsidR="008C75CC" w:rsidRPr="00894190" w:rsidRDefault="008C75CC" w:rsidP="008C75C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894190">
        <w:rPr>
          <w:rFonts w:cstheme="minorHAnsi"/>
          <w:b/>
          <w:bCs/>
        </w:rPr>
        <w:t>Adult Hospital Level Medication Review Process</w:t>
      </w:r>
    </w:p>
    <w:p w14:paraId="6D0A2C39" w14:textId="4717712C" w:rsidR="008C75CC" w:rsidRPr="00894190" w:rsidRDefault="008C75CC" w:rsidP="008C75CC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bCs/>
        </w:rPr>
      </w:pPr>
      <w:r w:rsidRPr="00894190">
        <w:rPr>
          <w:rFonts w:cstheme="minorHAnsi"/>
          <w:b/>
          <w:bCs/>
        </w:rPr>
        <w:t xml:space="preserve">Component: </w:t>
      </w:r>
      <w:r>
        <w:rPr>
          <w:rFonts w:cstheme="minorHAnsi"/>
          <w:b/>
          <w:bCs/>
        </w:rPr>
        <w:t>Emergencies and injuries</w:t>
      </w:r>
    </w:p>
    <w:p w14:paraId="23D227DE" w14:textId="55A25DBA" w:rsidR="00134FDE" w:rsidRDefault="008C75C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EVIDENCE SUMMARY</w:t>
      </w:r>
    </w:p>
    <w:p w14:paraId="72015CA2" w14:textId="77777777" w:rsidR="008C75CC" w:rsidRDefault="008C75CC">
      <w:pPr>
        <w:rPr>
          <w:b/>
          <w:bCs/>
          <w:u w:val="single"/>
          <w:lang w:val="en-US"/>
        </w:rPr>
      </w:pPr>
    </w:p>
    <w:p w14:paraId="1475A835" w14:textId="736AC265" w:rsidR="001907FB" w:rsidRPr="008C75CC" w:rsidRDefault="008C75CC">
      <w:pPr>
        <w:rPr>
          <w:b/>
          <w:bCs/>
          <w:lang w:val="en-US"/>
        </w:rPr>
      </w:pPr>
      <w:r w:rsidRPr="008C75CC">
        <w:rPr>
          <w:b/>
          <w:bCs/>
          <w:lang w:val="en-US"/>
        </w:rPr>
        <w:t>TITLE: TEMPERATURE CONTROL IN POST-CARDIAC ARREST</w:t>
      </w:r>
    </w:p>
    <w:p w14:paraId="46C57AFA" w14:textId="77777777" w:rsidR="001907FB" w:rsidRDefault="001907FB">
      <w:pPr>
        <w:rPr>
          <w:b/>
          <w:bCs/>
          <w:u w:val="single"/>
          <w:lang w:val="en-US"/>
        </w:rPr>
      </w:pPr>
    </w:p>
    <w:p w14:paraId="1ABE5BAF" w14:textId="56B5B88C" w:rsidR="002925B6" w:rsidRPr="001907FB" w:rsidRDefault="00DA1E99">
      <w:pPr>
        <w:rPr>
          <w:b/>
          <w:bCs/>
          <w:lang w:val="en-US"/>
        </w:rPr>
      </w:pPr>
      <w:r w:rsidRPr="001907FB">
        <w:rPr>
          <w:b/>
          <w:bCs/>
          <w:lang w:val="en-US"/>
        </w:rPr>
        <w:t>Preventing fever post CPR vs therapeutic hypothermia</w:t>
      </w:r>
    </w:p>
    <w:p w14:paraId="28201A04" w14:textId="7292E0CB" w:rsidR="00DA1E99" w:rsidRDefault="00DA1E99">
      <w:pPr>
        <w:rPr>
          <w:lang w:val="en-US"/>
        </w:rPr>
      </w:pPr>
    </w:p>
    <w:p w14:paraId="2D475449" w14:textId="740F0448" w:rsidR="002E19D4" w:rsidRDefault="002E19D4" w:rsidP="008C75CC">
      <w:pPr>
        <w:jc w:val="both"/>
        <w:rPr>
          <w:lang w:val="en-US"/>
        </w:rPr>
      </w:pPr>
      <w:r>
        <w:rPr>
          <w:lang w:val="en-US"/>
        </w:rPr>
        <w:t xml:space="preserve">A systematic review </w:t>
      </w:r>
      <w:r w:rsidR="00EC5B08">
        <w:rPr>
          <w:lang w:val="en-US"/>
        </w:rPr>
        <w:t xml:space="preserve">was </w:t>
      </w:r>
      <w:r>
        <w:rPr>
          <w:lang w:val="en-US"/>
        </w:rPr>
        <w:t>published in 2022</w:t>
      </w:r>
      <w:r w:rsidR="0063732B">
        <w:rPr>
          <w:lang w:val="en-US"/>
        </w:rPr>
        <w:t xml:space="preserve"> for the </w:t>
      </w:r>
      <w:r w:rsidR="0063732B" w:rsidRPr="0063732B">
        <w:rPr>
          <w:lang w:val="en-US"/>
        </w:rPr>
        <w:t>European Resuscitation Council (ERC)</w:t>
      </w:r>
      <w:r w:rsidR="0063732B">
        <w:rPr>
          <w:lang w:val="en-US"/>
        </w:rPr>
        <w:t xml:space="preserve"> and ILCOR (international liaison committee on resuscitation).</w:t>
      </w:r>
      <w:r w:rsidR="00EC5B08" w:rsidRPr="00EC5B08">
        <w:rPr>
          <w:noProof/>
          <w:lang w:val="en-US"/>
        </w:rPr>
        <w:t>(1)</w:t>
      </w:r>
      <w:r w:rsidR="0063732B">
        <w:rPr>
          <w:lang w:val="en-US"/>
        </w:rPr>
        <w:t xml:space="preserve"> They followed </w:t>
      </w:r>
      <w:r w:rsidR="0063732B" w:rsidRPr="0063732B">
        <w:rPr>
          <w:lang w:val="en-US"/>
        </w:rPr>
        <w:t>the Grading of Recommendations Assessment, Development, and Evaluation (GRADE) approach to assess the certainty of evidence and grade recommendations.</w:t>
      </w:r>
      <w:r w:rsidR="0063732B">
        <w:rPr>
          <w:lang w:val="en-US"/>
        </w:rPr>
        <w:t xml:space="preserve"> They found the following:</w:t>
      </w:r>
    </w:p>
    <w:p w14:paraId="0994766B" w14:textId="1F8FA810" w:rsidR="0063732B" w:rsidRDefault="0063732B" w:rsidP="00B9607A">
      <w:pPr>
        <w:rPr>
          <w:lang w:val="en-US"/>
        </w:rPr>
      </w:pPr>
    </w:p>
    <w:p w14:paraId="652F2256" w14:textId="3293B522" w:rsidR="0063732B" w:rsidRDefault="0063732B" w:rsidP="00B9607A">
      <w:pPr>
        <w:rPr>
          <w:lang w:val="en-US"/>
        </w:rPr>
      </w:pPr>
      <w:r w:rsidRPr="0063732B">
        <w:rPr>
          <w:noProof/>
          <w:lang w:val="en-US"/>
        </w:rPr>
        <w:drawing>
          <wp:inline distT="0" distB="0" distL="0" distR="0" wp14:anchorId="6798B476" wp14:editId="2B659DFA">
            <wp:extent cx="6645910" cy="5680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2043D" w14:textId="63EA72B6" w:rsidR="00B9607A" w:rsidRPr="00511E72" w:rsidRDefault="009051B3" w:rsidP="00B9607A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F</w:t>
      </w:r>
      <w:r w:rsidR="00B9607A" w:rsidRPr="00511E72">
        <w:rPr>
          <w:i/>
          <w:iCs/>
          <w:u w:val="single"/>
          <w:lang w:val="en-US"/>
        </w:rPr>
        <w:t>or the STG/EML:</w:t>
      </w:r>
    </w:p>
    <w:p w14:paraId="1B37F51C" w14:textId="3DAE767E" w:rsidR="00B9607A" w:rsidRDefault="008C75CC" w:rsidP="00B960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Proposed wording:</w:t>
      </w:r>
      <w:r w:rsidR="00B9607A">
        <w:rPr>
          <w:lang w:val="en-US"/>
        </w:rPr>
        <w:t xml:space="preserve"> from “cooling” to “prevent fever”. </w:t>
      </w:r>
    </w:p>
    <w:p w14:paraId="5DB94A2E" w14:textId="2B34790E" w:rsidR="00B9607A" w:rsidRDefault="00B9607A" w:rsidP="00B960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This is based on the best evidence that exists on this topic and may save resources.</w:t>
      </w:r>
    </w:p>
    <w:p w14:paraId="411118ED" w14:textId="47F62512" w:rsidR="00EC5B08" w:rsidRDefault="00EC5B08">
      <w:pPr>
        <w:rPr>
          <w:lang w:val="en-US"/>
        </w:rPr>
      </w:pPr>
      <w:r>
        <w:rPr>
          <w:lang w:val="en-US"/>
        </w:rPr>
        <w:br w:type="page"/>
      </w:r>
    </w:p>
    <w:p w14:paraId="2280ACAB" w14:textId="5D60C8B6" w:rsidR="00EC5B08" w:rsidRPr="00511E72" w:rsidRDefault="00EC5B08" w:rsidP="00EC5B08">
      <w:pPr>
        <w:rPr>
          <w:b/>
          <w:bCs/>
          <w:u w:val="single"/>
          <w:lang w:val="en-US"/>
        </w:rPr>
      </w:pPr>
      <w:r w:rsidRPr="00511E72">
        <w:rPr>
          <w:b/>
          <w:bCs/>
          <w:u w:val="single"/>
          <w:lang w:val="en-US"/>
        </w:rPr>
        <w:lastRenderedPageBreak/>
        <w:t>Details of main trial including TTM2 trial:</w:t>
      </w:r>
    </w:p>
    <w:p w14:paraId="138FE4CF" w14:textId="77777777" w:rsidR="00EC5B08" w:rsidRDefault="00EC5B08" w:rsidP="00EC5B08">
      <w:pPr>
        <w:rPr>
          <w:lang w:val="en-US"/>
        </w:rPr>
      </w:pPr>
    </w:p>
    <w:p w14:paraId="3F5AB3BA" w14:textId="3D6CD764" w:rsidR="00EC5B08" w:rsidRDefault="00EC5B08" w:rsidP="00EC5B08">
      <w:pPr>
        <w:rPr>
          <w:lang w:val="en-US"/>
        </w:rPr>
      </w:pPr>
      <w:r>
        <w:rPr>
          <w:lang w:val="en-US"/>
        </w:rPr>
        <w:t>The evidence for therapeutic hypothermia post CPR was based on two trials – both with significant limitations and biases:</w:t>
      </w:r>
    </w:p>
    <w:p w14:paraId="15ADBA45" w14:textId="77777777" w:rsidR="00EC5B08" w:rsidRDefault="00EC5B08" w:rsidP="00EC5B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Bernard trial was a small quasi randomised trial with substantial methodological limitations.</w:t>
      </w:r>
    </w:p>
    <w:p w14:paraId="44CF986C" w14:textId="77777777" w:rsidR="00EC5B08" w:rsidRDefault="00EC5B08" w:rsidP="00EC5B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HACA trial was a larger RCT and found a 14% mortality reduction with therapeutic hypothermia (absolute benefit). Significant bias: this trial was unblinded; withdrawal of care was not standardized – pts on the treatment arm had longer times to neuroprognostication; care was not standardized between the two arms.</w:t>
      </w:r>
    </w:p>
    <w:p w14:paraId="6B173947" w14:textId="77777777" w:rsidR="00EC5B08" w:rsidRDefault="00EC5B08" w:rsidP="00EC5B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few trials showed net harm or no benefit, including the TTM1 trial.</w:t>
      </w:r>
    </w:p>
    <w:p w14:paraId="74FD5505" w14:textId="77777777" w:rsidR="00EC5B08" w:rsidRDefault="00EC5B08" w:rsidP="00EC5B08">
      <w:pPr>
        <w:rPr>
          <w:lang w:val="en-US"/>
        </w:rPr>
      </w:pPr>
    </w:p>
    <w:p w14:paraId="35B3A750" w14:textId="4467E982" w:rsidR="00EC5B08" w:rsidRDefault="00EC5B08" w:rsidP="00EC5B08">
      <w:pPr>
        <w:rPr>
          <w:lang w:val="en-US"/>
        </w:rPr>
      </w:pPr>
      <w:r>
        <w:rPr>
          <w:lang w:val="en-US"/>
        </w:rPr>
        <w:t>The TTM2 trial was a large trial – well conducted – nearly 2000 patients and compared hypothermia (33 degrees vs normothermia (fever control).</w:t>
      </w:r>
      <w:r w:rsidRPr="00EC5B08">
        <w:rPr>
          <w:noProof/>
          <w:lang w:val="en-US"/>
        </w:rPr>
        <w:t>(2)</w:t>
      </w:r>
      <w:r>
        <w:rPr>
          <w:lang w:val="en-US"/>
        </w:rPr>
        <w:t xml:space="preserve"> In the control group, they initiated cooling when the temperature rised above 37.8 degrees only and only cooled to 37.5 (normothermia).</w:t>
      </w:r>
    </w:p>
    <w:p w14:paraId="482683B3" w14:textId="77777777" w:rsidR="00EC5B08" w:rsidRDefault="00EC5B08" w:rsidP="00EC5B08">
      <w:pPr>
        <w:rPr>
          <w:lang w:val="en-US"/>
        </w:rPr>
      </w:pPr>
      <w:r>
        <w:rPr>
          <w:lang w:val="en-US"/>
        </w:rPr>
        <w:t xml:space="preserve">This trial had a very low risk of bias as the treatment and neuroprognostication procedures were standardized. It was a multicentered randomised superiority trial. Outcomes were assessed at 30 days and 180 days. Research question: </w:t>
      </w:r>
      <w:r w:rsidRPr="00B9607A">
        <w:rPr>
          <w:lang w:val="en-US"/>
        </w:rPr>
        <w:t>Does targeted hypothermia lead to improved outcomes in comparison to targeted normothermia (and avoidance of fever) in patients with ROSC after OHCA?</w:t>
      </w:r>
      <w:r>
        <w:rPr>
          <w:lang w:val="en-US"/>
        </w:rPr>
        <w:t xml:space="preserve"> (return of spontaneous circulation and out of hospital cardiac arrest)</w:t>
      </w:r>
    </w:p>
    <w:p w14:paraId="0897497D" w14:textId="77777777" w:rsidR="00EC5B08" w:rsidRDefault="00EC5B08" w:rsidP="00EC5B08">
      <w:pPr>
        <w:rPr>
          <w:lang w:val="en-US"/>
        </w:rPr>
      </w:pPr>
    </w:p>
    <w:p w14:paraId="2EEB039F" w14:textId="77777777" w:rsidR="00EC5B08" w:rsidRPr="00511E72" w:rsidRDefault="00EC5B08" w:rsidP="00EC5B08">
      <w:pPr>
        <w:rPr>
          <w:i/>
          <w:iCs/>
          <w:lang w:val="en-US"/>
        </w:rPr>
      </w:pPr>
      <w:r w:rsidRPr="00511E72">
        <w:rPr>
          <w:i/>
          <w:iCs/>
          <w:lang w:val="en-US"/>
        </w:rPr>
        <w:t>Main findings:</w:t>
      </w:r>
    </w:p>
    <w:p w14:paraId="08F6C1FB" w14:textId="77777777" w:rsidR="00EC5B08" w:rsidRDefault="00EC5B08" w:rsidP="00EC5B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Hypothermia had no effect on mortality or neurological endpoints.</w:t>
      </w:r>
    </w:p>
    <w:p w14:paraId="7D7C7E24" w14:textId="77777777" w:rsidR="00EC5B08" w:rsidRPr="000C5C97" w:rsidRDefault="00EC5B08" w:rsidP="00EC5B0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Death from any cause: 50% in hypothermia vs 48% in normothermia, RR 1.04 95% CI 0.94 to 1.14 p=0.37</w:t>
      </w:r>
    </w:p>
    <w:p w14:paraId="2C00219E" w14:textId="77777777" w:rsidR="00EC5B08" w:rsidRDefault="00EC5B08" w:rsidP="00EC5B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Numerous signs of iatrogenic harm in hypothermia group</w:t>
      </w:r>
    </w:p>
    <w:p w14:paraId="1C166BAA" w14:textId="77777777" w:rsidR="00EC5B08" w:rsidRPr="000C5C97" w:rsidRDefault="00EC5B08" w:rsidP="00EC5B08">
      <w:pPr>
        <w:pStyle w:val="ListParagraph"/>
        <w:numPr>
          <w:ilvl w:val="1"/>
          <w:numId w:val="2"/>
        </w:numPr>
        <w:rPr>
          <w:lang w:val="en-US"/>
        </w:rPr>
      </w:pPr>
      <w:r w:rsidRPr="000C5C97">
        <w:rPr>
          <w:lang w:val="en-US"/>
        </w:rPr>
        <w:t>Patients in the hypothermia group had a higher risk of arrhythmia causing hemodynamic instability (24% vs. 17%, p&lt;0.001).</w:t>
      </w:r>
    </w:p>
    <w:p w14:paraId="232D1441" w14:textId="77777777" w:rsidR="00EC5B08" w:rsidRPr="000C5C97" w:rsidRDefault="00EC5B08" w:rsidP="00EC5B08">
      <w:pPr>
        <w:pStyle w:val="ListParagraph"/>
        <w:numPr>
          <w:ilvl w:val="1"/>
          <w:numId w:val="2"/>
        </w:numPr>
        <w:rPr>
          <w:lang w:val="en-US"/>
        </w:rPr>
      </w:pPr>
      <w:r w:rsidRPr="000C5C97">
        <w:rPr>
          <w:lang w:val="en-US"/>
        </w:rPr>
        <w:t xml:space="preserve">Patients in the hypothermia group required paralytics more often (66% vs. 45%, p&lt;0.001). </w:t>
      </w:r>
    </w:p>
    <w:p w14:paraId="136EBDA2" w14:textId="77777777" w:rsidR="00EC5B08" w:rsidRPr="000C5C97" w:rsidRDefault="00EC5B08" w:rsidP="00EC5B08">
      <w:pPr>
        <w:pStyle w:val="ListParagraph"/>
        <w:numPr>
          <w:ilvl w:val="1"/>
          <w:numId w:val="2"/>
        </w:numPr>
        <w:rPr>
          <w:lang w:val="en-US"/>
        </w:rPr>
      </w:pPr>
      <w:r w:rsidRPr="000C5C97">
        <w:rPr>
          <w:lang w:val="en-US"/>
        </w:rPr>
        <w:t>Patients in the hypothermia group had a longer median length of mechanical ventilation (3.8 days vs. 2.9 days).</w:t>
      </w:r>
    </w:p>
    <w:p w14:paraId="1A6DB649" w14:textId="77777777" w:rsidR="00EC5B08" w:rsidRPr="000C5C97" w:rsidRDefault="00EC5B08" w:rsidP="00EC5B08">
      <w:pPr>
        <w:pStyle w:val="ListParagraph"/>
        <w:numPr>
          <w:ilvl w:val="1"/>
          <w:numId w:val="2"/>
        </w:numPr>
        <w:rPr>
          <w:lang w:val="en-US"/>
        </w:rPr>
      </w:pPr>
      <w:r w:rsidRPr="000C5C97">
        <w:rPr>
          <w:lang w:val="en-US"/>
        </w:rPr>
        <w:t>Patients in the hypothermia group experienced more than twice as many unexpected severe adverse events (3.7% vs. 1.4%, p=0.003).</w:t>
      </w:r>
    </w:p>
    <w:p w14:paraId="7DF6DE77" w14:textId="77777777" w:rsidR="00EC5B08" w:rsidRDefault="00EC5B08" w:rsidP="00EC5B08">
      <w:pPr>
        <w:ind w:left="1080"/>
        <w:rPr>
          <w:lang w:val="en-US"/>
        </w:rPr>
      </w:pPr>
    </w:p>
    <w:p w14:paraId="02C1742B" w14:textId="77777777" w:rsidR="00EC5B08" w:rsidRPr="00511E72" w:rsidRDefault="00EC5B08" w:rsidP="00EC5B08">
      <w:pPr>
        <w:rPr>
          <w:i/>
          <w:iCs/>
          <w:lang w:val="en-US"/>
        </w:rPr>
      </w:pPr>
      <w:r w:rsidRPr="00511E72">
        <w:rPr>
          <w:i/>
          <w:iCs/>
          <w:lang w:val="en-US"/>
        </w:rPr>
        <w:t>Conclusions</w:t>
      </w:r>
    </w:p>
    <w:p w14:paraId="52924FB1" w14:textId="77777777" w:rsidR="00EC5B08" w:rsidRDefault="00EC5B08" w:rsidP="00EC5B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Therapeutic hypothermia can cause substantial harm. </w:t>
      </w:r>
    </w:p>
    <w:p w14:paraId="52080A60" w14:textId="77777777" w:rsidR="00EC5B08" w:rsidRDefault="00EC5B08" w:rsidP="00EC5B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Therapeutic hypothermia is resource heavy: cooling vests, ice packs, invasive monitoring, and staff)</w:t>
      </w:r>
    </w:p>
    <w:p w14:paraId="1982E3E3" w14:textId="77777777" w:rsidR="00EC5B08" w:rsidRDefault="00EC5B08" w:rsidP="00EC5B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TTM2 trial is the highest level of evidence on this topic. </w:t>
      </w:r>
    </w:p>
    <w:p w14:paraId="6E26723E" w14:textId="53F9B82C" w:rsidR="00EC5B08" w:rsidRDefault="00EC5B08" w:rsidP="00D755F2">
      <w:pPr>
        <w:rPr>
          <w:lang w:val="en-US"/>
        </w:rPr>
      </w:pPr>
    </w:p>
    <w:p w14:paraId="2E1B4F5F" w14:textId="340D77C2" w:rsidR="00EC5B08" w:rsidRPr="003C6B30" w:rsidRDefault="003C6B30" w:rsidP="00D755F2">
      <w:pPr>
        <w:rPr>
          <w:b/>
          <w:bCs/>
          <w:lang w:val="en-US"/>
        </w:rPr>
      </w:pPr>
      <w:r w:rsidRPr="003C6B30">
        <w:rPr>
          <w:b/>
          <w:bCs/>
          <w:lang w:val="en-US"/>
        </w:rPr>
        <w:t>Low certainty evidence</w:t>
      </w:r>
    </w:p>
    <w:p w14:paraId="03B82D04" w14:textId="77777777" w:rsidR="003C6B30" w:rsidRDefault="003C6B30" w:rsidP="00D755F2">
      <w:pPr>
        <w:rPr>
          <w:lang w:val="en-US"/>
        </w:rPr>
      </w:pPr>
    </w:p>
    <w:p w14:paraId="4289E673" w14:textId="28B17A23" w:rsidR="00EC5B08" w:rsidRPr="00134FDE" w:rsidRDefault="00EC5B08" w:rsidP="00D755F2">
      <w:pPr>
        <w:rPr>
          <w:i/>
          <w:iCs/>
          <w:sz w:val="20"/>
          <w:szCs w:val="20"/>
          <w:lang w:val="en-US"/>
        </w:rPr>
      </w:pPr>
      <w:r w:rsidRPr="00134FDE">
        <w:rPr>
          <w:i/>
          <w:iCs/>
          <w:sz w:val="20"/>
          <w:szCs w:val="20"/>
          <w:lang w:val="en-US"/>
        </w:rPr>
        <w:t>References</w:t>
      </w:r>
    </w:p>
    <w:p w14:paraId="2D06826C" w14:textId="79975090" w:rsidR="00EC5B08" w:rsidRPr="00134FDE" w:rsidRDefault="00EC5B08" w:rsidP="00EC5B08">
      <w:pPr>
        <w:widowControl w:val="0"/>
        <w:autoSpaceDE w:val="0"/>
        <w:autoSpaceDN w:val="0"/>
        <w:adjustRightInd w:val="0"/>
        <w:ind w:left="640" w:hanging="640"/>
        <w:rPr>
          <w:rFonts w:ascii="Calibri" w:hAnsi="Calibri" w:cs="Calibri"/>
          <w:noProof/>
          <w:sz w:val="20"/>
          <w:szCs w:val="20"/>
          <w:lang w:val="en-GB"/>
        </w:rPr>
      </w:pPr>
      <w:r w:rsidRPr="00134FDE">
        <w:rPr>
          <w:rFonts w:ascii="Calibri" w:hAnsi="Calibri" w:cs="Calibri"/>
          <w:noProof/>
          <w:sz w:val="20"/>
          <w:szCs w:val="20"/>
          <w:lang w:val="en-GB"/>
        </w:rPr>
        <w:t xml:space="preserve">1. </w:t>
      </w:r>
      <w:r w:rsidRPr="00134FDE">
        <w:rPr>
          <w:rFonts w:ascii="Calibri" w:hAnsi="Calibri" w:cs="Calibri"/>
          <w:noProof/>
          <w:sz w:val="20"/>
          <w:szCs w:val="20"/>
          <w:lang w:val="en-GB"/>
        </w:rPr>
        <w:tab/>
        <w:t>Sandroni C, Nolan JP, Andersen LW, Böttiger BW, Cariou A, Cronberg T, et al. ICM RAPID PRACTICE GUIDELINE ERC-ESICM guidelines on temperature control after cardiac arrest in adults. Intensive Care Med [Internet]. 2022;48:261–9. Available from: https://doi.org/10.1007/s00134-022-06620-5</w:t>
      </w:r>
    </w:p>
    <w:p w14:paraId="6DC64146" w14:textId="77777777" w:rsidR="00EC5B08" w:rsidRPr="00134FDE" w:rsidRDefault="00EC5B08" w:rsidP="00EC5B08">
      <w:pPr>
        <w:widowControl w:val="0"/>
        <w:autoSpaceDE w:val="0"/>
        <w:autoSpaceDN w:val="0"/>
        <w:adjustRightInd w:val="0"/>
        <w:ind w:left="640" w:hanging="640"/>
        <w:rPr>
          <w:rFonts w:ascii="Calibri" w:hAnsi="Calibri" w:cs="Calibri"/>
          <w:noProof/>
          <w:sz w:val="20"/>
          <w:szCs w:val="20"/>
        </w:rPr>
      </w:pPr>
      <w:r w:rsidRPr="00134FDE">
        <w:rPr>
          <w:rFonts w:ascii="Calibri" w:hAnsi="Calibri" w:cs="Calibri"/>
          <w:noProof/>
          <w:sz w:val="20"/>
          <w:szCs w:val="20"/>
          <w:lang w:val="en-GB"/>
        </w:rPr>
        <w:t xml:space="preserve">2. </w:t>
      </w:r>
      <w:r w:rsidRPr="00134FDE">
        <w:rPr>
          <w:rFonts w:ascii="Calibri" w:hAnsi="Calibri" w:cs="Calibri"/>
          <w:noProof/>
          <w:sz w:val="20"/>
          <w:szCs w:val="20"/>
          <w:lang w:val="en-GB"/>
        </w:rPr>
        <w:tab/>
        <w:t xml:space="preserve">Dankiewicz J, Cronberg T, Lilja G, Jakobsen JC, Levin H, Ullén S, et al. Hypothermia versus Normothermia after Out-of-Hospital Cardiac Arrest. N Engl J Med. 2021;384(24):2283–94. </w:t>
      </w:r>
    </w:p>
    <w:p w14:paraId="58246BEE" w14:textId="4BA39645" w:rsidR="00D755F2" w:rsidRDefault="00D755F2" w:rsidP="00EC5B08">
      <w:pPr>
        <w:widowControl w:val="0"/>
        <w:autoSpaceDE w:val="0"/>
        <w:autoSpaceDN w:val="0"/>
        <w:adjustRightInd w:val="0"/>
        <w:ind w:left="640" w:hanging="640"/>
        <w:rPr>
          <w:lang w:val="en-US"/>
        </w:rPr>
      </w:pPr>
    </w:p>
    <w:p w14:paraId="5DC8A829" w14:textId="67B4EE6D" w:rsidR="003C6B30" w:rsidRDefault="003C6B30" w:rsidP="00EC5B08">
      <w:pPr>
        <w:widowControl w:val="0"/>
        <w:autoSpaceDE w:val="0"/>
        <w:autoSpaceDN w:val="0"/>
        <w:adjustRightInd w:val="0"/>
        <w:ind w:left="640" w:hanging="640"/>
        <w:rPr>
          <w:lang w:val="en-US"/>
        </w:rPr>
      </w:pPr>
      <w:r w:rsidRPr="003C6B30">
        <w:rPr>
          <w:i/>
          <w:iCs/>
          <w:lang w:val="en-US"/>
        </w:rPr>
        <w:t>Author:</w:t>
      </w:r>
      <w:r>
        <w:rPr>
          <w:lang w:val="en-US"/>
        </w:rPr>
        <w:t xml:space="preserve"> Dr Clint Hendrikse</w:t>
      </w:r>
    </w:p>
    <w:p w14:paraId="232BB6BF" w14:textId="13F71CD3" w:rsidR="003C6B30" w:rsidRPr="003C6B30" w:rsidRDefault="003C6B30" w:rsidP="00EC5B08">
      <w:pPr>
        <w:widowControl w:val="0"/>
        <w:autoSpaceDE w:val="0"/>
        <w:autoSpaceDN w:val="0"/>
        <w:adjustRightInd w:val="0"/>
        <w:ind w:left="640" w:hanging="640"/>
        <w:rPr>
          <w:lang w:val="en-US"/>
        </w:rPr>
      </w:pPr>
      <w:r>
        <w:rPr>
          <w:i/>
          <w:iCs/>
          <w:lang w:val="en-US"/>
        </w:rPr>
        <w:t>Date:</w:t>
      </w:r>
      <w:r>
        <w:rPr>
          <w:lang w:val="en-US"/>
        </w:rPr>
        <w:t xml:space="preserve"> 9 August 2022</w:t>
      </w:r>
    </w:p>
    <w:sectPr w:rsidR="003C6B30" w:rsidRPr="003C6B30" w:rsidSect="00B96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9D96" w14:textId="77777777" w:rsidR="00B20065" w:rsidRDefault="00B20065" w:rsidP="001907FB">
      <w:r>
        <w:separator/>
      </w:r>
    </w:p>
  </w:endnote>
  <w:endnote w:type="continuationSeparator" w:id="0">
    <w:p w14:paraId="430F7BD2" w14:textId="77777777" w:rsidR="00B20065" w:rsidRDefault="00B20065" w:rsidP="0019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9A38" w14:textId="77777777" w:rsidR="009051B3" w:rsidRDefault="00905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996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8788E" w14:textId="24AF2628" w:rsidR="001907FB" w:rsidRDefault="001907FB" w:rsidP="001907FB">
        <w:pPr>
          <w:pStyle w:val="Footer"/>
          <w:jc w:val="center"/>
        </w:pPr>
        <w:r w:rsidRPr="001907FB">
          <w:t>Temperature control in post-cardiac arrest</w:t>
        </w:r>
        <w:r>
          <w:t>_TTM2 trial summary_</w:t>
        </w:r>
        <w:r w:rsidR="003C6B30">
          <w:t>9August2022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4B615" w14:textId="77777777" w:rsidR="001907FB" w:rsidRDefault="00190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B584" w14:textId="77777777" w:rsidR="009051B3" w:rsidRDefault="00905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3551" w14:textId="77777777" w:rsidR="00B20065" w:rsidRDefault="00B20065" w:rsidP="001907FB">
      <w:r>
        <w:separator/>
      </w:r>
    </w:p>
  </w:footnote>
  <w:footnote w:type="continuationSeparator" w:id="0">
    <w:p w14:paraId="225C185F" w14:textId="77777777" w:rsidR="00B20065" w:rsidRDefault="00B20065" w:rsidP="0019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C190" w14:textId="3EDFBF58" w:rsidR="009051B3" w:rsidRDefault="009051B3">
    <w:pPr>
      <w:pStyle w:val="Header"/>
    </w:pPr>
    <w:r>
      <w:rPr>
        <w:noProof/>
      </w:rPr>
      <w:pict w14:anchorId="33B19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37376" o:spid="_x0000_s1026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3102" w14:textId="49C25D3C" w:rsidR="009051B3" w:rsidRDefault="009051B3">
    <w:pPr>
      <w:pStyle w:val="Header"/>
    </w:pPr>
    <w:r>
      <w:rPr>
        <w:noProof/>
      </w:rPr>
      <w:pict w14:anchorId="70D22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37377" o:spid="_x0000_s1027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651" w14:textId="4DB9062E" w:rsidR="009051B3" w:rsidRDefault="009051B3">
    <w:pPr>
      <w:pStyle w:val="Header"/>
    </w:pPr>
    <w:r>
      <w:rPr>
        <w:noProof/>
      </w:rPr>
      <w:pict w14:anchorId="7F8288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37375" o:spid="_x0000_s1025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171"/>
    <w:multiLevelType w:val="hybridMultilevel"/>
    <w:tmpl w:val="4CCA4384"/>
    <w:lvl w:ilvl="0" w:tplc="D8D87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BBB"/>
    <w:multiLevelType w:val="hybridMultilevel"/>
    <w:tmpl w:val="8A5EA2A6"/>
    <w:lvl w:ilvl="0" w:tplc="5504F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5CF7"/>
    <w:multiLevelType w:val="hybridMultilevel"/>
    <w:tmpl w:val="A34AB682"/>
    <w:lvl w:ilvl="0" w:tplc="7F6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32C5C"/>
    <w:multiLevelType w:val="hybridMultilevel"/>
    <w:tmpl w:val="FE98AD06"/>
    <w:lvl w:ilvl="0" w:tplc="3390A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721667">
    <w:abstractNumId w:val="3"/>
  </w:num>
  <w:num w:numId="2" w16cid:durableId="1436947381">
    <w:abstractNumId w:val="2"/>
  </w:num>
  <w:num w:numId="3" w16cid:durableId="2072534097">
    <w:abstractNumId w:val="0"/>
  </w:num>
  <w:num w:numId="4" w16cid:durableId="114281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9"/>
    <w:rsid w:val="00061324"/>
    <w:rsid w:val="000719CA"/>
    <w:rsid w:val="000A5A5E"/>
    <w:rsid w:val="000B0528"/>
    <w:rsid w:val="000C5C97"/>
    <w:rsid w:val="000E0ECC"/>
    <w:rsid w:val="00133E1F"/>
    <w:rsid w:val="00134FDE"/>
    <w:rsid w:val="001907FB"/>
    <w:rsid w:val="001F7D04"/>
    <w:rsid w:val="0020578E"/>
    <w:rsid w:val="00237C97"/>
    <w:rsid w:val="002925B6"/>
    <w:rsid w:val="002E19D4"/>
    <w:rsid w:val="00314B08"/>
    <w:rsid w:val="00357D5B"/>
    <w:rsid w:val="00385562"/>
    <w:rsid w:val="0039627F"/>
    <w:rsid w:val="003B164D"/>
    <w:rsid w:val="003C3816"/>
    <w:rsid w:val="003C6B30"/>
    <w:rsid w:val="00432077"/>
    <w:rsid w:val="00467A8A"/>
    <w:rsid w:val="00472377"/>
    <w:rsid w:val="004A44BA"/>
    <w:rsid w:val="004A5A81"/>
    <w:rsid w:val="004E1EB3"/>
    <w:rsid w:val="0050276E"/>
    <w:rsid w:val="00511E72"/>
    <w:rsid w:val="005B112F"/>
    <w:rsid w:val="006223C9"/>
    <w:rsid w:val="0063732B"/>
    <w:rsid w:val="00646592"/>
    <w:rsid w:val="0067557F"/>
    <w:rsid w:val="006F5386"/>
    <w:rsid w:val="006F7FCC"/>
    <w:rsid w:val="00742503"/>
    <w:rsid w:val="00785D1E"/>
    <w:rsid w:val="007B62B5"/>
    <w:rsid w:val="00850D95"/>
    <w:rsid w:val="008A2F83"/>
    <w:rsid w:val="008C75CC"/>
    <w:rsid w:val="008E5AAA"/>
    <w:rsid w:val="009051B3"/>
    <w:rsid w:val="009D42B9"/>
    <w:rsid w:val="00A10D60"/>
    <w:rsid w:val="00A133D7"/>
    <w:rsid w:val="00B06988"/>
    <w:rsid w:val="00B20065"/>
    <w:rsid w:val="00B43886"/>
    <w:rsid w:val="00B9607A"/>
    <w:rsid w:val="00BB07BE"/>
    <w:rsid w:val="00BF1AEC"/>
    <w:rsid w:val="00C50AE7"/>
    <w:rsid w:val="00C51D08"/>
    <w:rsid w:val="00CB6FD9"/>
    <w:rsid w:val="00CC62C4"/>
    <w:rsid w:val="00D35D70"/>
    <w:rsid w:val="00D51D81"/>
    <w:rsid w:val="00D54CF2"/>
    <w:rsid w:val="00D755F2"/>
    <w:rsid w:val="00D9333A"/>
    <w:rsid w:val="00D96946"/>
    <w:rsid w:val="00DA11A1"/>
    <w:rsid w:val="00DA1E99"/>
    <w:rsid w:val="00E45584"/>
    <w:rsid w:val="00E86BDB"/>
    <w:rsid w:val="00E93C26"/>
    <w:rsid w:val="00EC5B08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BFD0F8"/>
  <w15:chartTrackingRefBased/>
  <w15:docId w15:val="{AF51C15D-124D-FE46-BB39-3D6BE3F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5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7FB"/>
  </w:style>
  <w:style w:type="paragraph" w:styleId="Footer">
    <w:name w:val="footer"/>
    <w:basedOn w:val="Normal"/>
    <w:link w:val="FooterChar"/>
    <w:uiPriority w:val="99"/>
    <w:unhideWhenUsed/>
    <w:rsid w:val="00190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98470E-C954-0446-A3D7-9AE80FA7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Hendrikse</dc:creator>
  <cp:keywords/>
  <dc:description/>
  <cp:lastModifiedBy>Trudy Leong</cp:lastModifiedBy>
  <cp:revision>3</cp:revision>
  <dcterms:created xsi:type="dcterms:W3CDTF">2022-10-08T05:37:00Z</dcterms:created>
  <dcterms:modified xsi:type="dcterms:W3CDTF">2022-10-21T16:19:00Z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c386803a-87bd-35dd-9f2e-78ef15c37a83</vt:lpwstr>
  </property>
  <property fmtid="{D5CDD505-2E9C-101B-9397-08002B2CF9AE}" pid="24" name="Mendeley Citation Style_1">
    <vt:lpwstr>http://www.zotero.org/styles/vancouver</vt:lpwstr>
  </property>
</Properties>
</file>