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0486" w14:textId="76C05ED0" w:rsidR="00821BC6" w:rsidRPr="00251A7C" w:rsidRDefault="00821BC6" w:rsidP="00821BC6">
      <w:pPr>
        <w:spacing w:after="0" w:line="240" w:lineRule="auto"/>
        <w:jc w:val="center"/>
        <w:rPr>
          <w:rFonts w:cstheme="minorHAnsi"/>
          <w:b/>
          <w:sz w:val="24"/>
          <w:szCs w:val="18"/>
          <w:lang w:val="en-GB"/>
        </w:rPr>
      </w:pPr>
      <w:r w:rsidRPr="00251A7C">
        <w:rPr>
          <w:rFonts w:cstheme="minorHAnsi"/>
          <w:b/>
          <w:sz w:val="24"/>
          <w:szCs w:val="18"/>
          <w:lang w:val="en-GB"/>
        </w:rPr>
        <w:t xml:space="preserve">SOUTH AFRICAN ADULT HOSPITAL LEVEL ESSENTIAL MEDICINES LIST </w:t>
      </w:r>
    </w:p>
    <w:p w14:paraId="74FF4151" w14:textId="77777777" w:rsidR="00821BC6" w:rsidRPr="00251A7C" w:rsidRDefault="00821BC6" w:rsidP="009C3F40">
      <w:pPr>
        <w:pBdr>
          <w:bottom w:val="double" w:sz="4" w:space="1" w:color="auto"/>
        </w:pBdr>
        <w:spacing w:after="0" w:line="240" w:lineRule="auto"/>
        <w:jc w:val="center"/>
        <w:rPr>
          <w:rFonts w:asciiTheme="minorHAnsi" w:hAnsiTheme="minorHAnsi" w:cstheme="minorHAnsi"/>
          <w:b/>
          <w:sz w:val="24"/>
          <w:szCs w:val="18"/>
          <w:lang w:val="en-GB"/>
        </w:rPr>
      </w:pPr>
      <w:r w:rsidRPr="00251A7C">
        <w:rPr>
          <w:rFonts w:cstheme="minorHAnsi"/>
          <w:b/>
          <w:sz w:val="24"/>
          <w:szCs w:val="18"/>
          <w:lang w:val="en-GB"/>
        </w:rPr>
        <w:t xml:space="preserve">CHAPTER 9: SYSTEMIC AND HEALTHCARE-ASSOCIATED INFECTIONS </w:t>
      </w:r>
    </w:p>
    <w:p w14:paraId="4D32E185" w14:textId="0D2EF7F5" w:rsidR="00516B6D" w:rsidRPr="00251A7C" w:rsidRDefault="00044699" w:rsidP="009C3F40">
      <w:pPr>
        <w:pBdr>
          <w:bottom w:val="double" w:sz="4" w:space="1" w:color="auto"/>
        </w:pBdr>
        <w:spacing w:after="0" w:line="240" w:lineRule="auto"/>
        <w:jc w:val="center"/>
        <w:rPr>
          <w:rFonts w:asciiTheme="minorHAnsi" w:hAnsiTheme="minorHAnsi" w:cstheme="minorHAnsi"/>
          <w:b/>
          <w:sz w:val="24"/>
          <w:szCs w:val="18"/>
          <w:lang w:val="en-GB"/>
        </w:rPr>
      </w:pPr>
      <w:r w:rsidRPr="00251A7C">
        <w:rPr>
          <w:rFonts w:asciiTheme="minorHAnsi" w:hAnsiTheme="minorHAnsi" w:cstheme="minorHAnsi"/>
          <w:b/>
          <w:sz w:val="24"/>
          <w:szCs w:val="18"/>
          <w:lang w:val="en-GB"/>
        </w:rPr>
        <w:t xml:space="preserve">NEMLC </w:t>
      </w:r>
      <w:r w:rsidR="008F728F" w:rsidRPr="00251A7C">
        <w:rPr>
          <w:rFonts w:asciiTheme="minorHAnsi" w:hAnsiTheme="minorHAnsi" w:cstheme="minorHAnsi"/>
          <w:b/>
          <w:sz w:val="24"/>
          <w:szCs w:val="18"/>
          <w:lang w:val="en-GB"/>
        </w:rPr>
        <w:t>RECOMMENDATIONS FROM THE MEETING OF</w:t>
      </w:r>
      <w:r w:rsidR="007D3B75" w:rsidRPr="00251A7C">
        <w:rPr>
          <w:rFonts w:asciiTheme="minorHAnsi" w:hAnsiTheme="minorHAnsi" w:cstheme="minorHAnsi"/>
          <w:b/>
          <w:sz w:val="24"/>
          <w:szCs w:val="18"/>
          <w:lang w:val="en-GB"/>
        </w:rPr>
        <w:t xml:space="preserve"> </w:t>
      </w:r>
      <w:r w:rsidR="00503408">
        <w:rPr>
          <w:rFonts w:asciiTheme="minorHAnsi" w:hAnsiTheme="minorHAnsi" w:cstheme="minorHAnsi"/>
          <w:b/>
          <w:sz w:val="24"/>
          <w:szCs w:val="18"/>
          <w:lang w:val="en-GB"/>
        </w:rPr>
        <w:t xml:space="preserve">25 AUGUST AND </w:t>
      </w:r>
      <w:r w:rsidR="00265FBC" w:rsidRPr="00251A7C">
        <w:rPr>
          <w:rFonts w:asciiTheme="minorHAnsi" w:hAnsiTheme="minorHAnsi" w:cstheme="minorHAnsi"/>
          <w:b/>
          <w:sz w:val="24"/>
          <w:szCs w:val="18"/>
          <w:lang w:val="en-GB"/>
        </w:rPr>
        <w:t>20 OCTOBER</w:t>
      </w:r>
      <w:r w:rsidR="00821BC6" w:rsidRPr="00251A7C">
        <w:rPr>
          <w:rFonts w:asciiTheme="minorHAnsi" w:hAnsiTheme="minorHAnsi" w:cstheme="minorHAnsi"/>
          <w:b/>
          <w:sz w:val="24"/>
          <w:szCs w:val="18"/>
          <w:lang w:val="en-GB"/>
        </w:rPr>
        <w:t xml:space="preserve"> 2022</w:t>
      </w:r>
    </w:p>
    <w:p w14:paraId="34028F32" w14:textId="77777777" w:rsidR="00516B6D" w:rsidRPr="00251A7C" w:rsidRDefault="00516B6D" w:rsidP="00965B2A">
      <w:pPr>
        <w:spacing w:after="0" w:line="240" w:lineRule="auto"/>
        <w:jc w:val="both"/>
        <w:rPr>
          <w:rFonts w:asciiTheme="minorHAnsi" w:hAnsiTheme="minorHAnsi" w:cstheme="minorHAnsi"/>
          <w:sz w:val="4"/>
          <w:szCs w:val="4"/>
          <w:lang w:val="en-GB"/>
        </w:rPr>
      </w:pPr>
    </w:p>
    <w:p w14:paraId="613C4FDF" w14:textId="77777777" w:rsidR="001F7FDF" w:rsidRPr="00251A7C" w:rsidRDefault="001F7FDF" w:rsidP="001F7FDF">
      <w:pPr>
        <w:spacing w:after="0" w:line="240" w:lineRule="auto"/>
        <w:jc w:val="both"/>
        <w:rPr>
          <w:rFonts w:asciiTheme="minorHAnsi" w:hAnsiTheme="minorHAnsi" w:cstheme="minorHAnsi"/>
          <w:b/>
          <w:spacing w:val="-2"/>
          <w:lang w:val="en-GB" w:eastAsia="ar-SA"/>
        </w:rPr>
      </w:pPr>
      <w:r w:rsidRPr="00251A7C">
        <w:rPr>
          <w:rFonts w:asciiTheme="minorHAnsi" w:hAnsiTheme="minorHAnsi" w:cstheme="minorHAnsi"/>
          <w:b/>
          <w:spacing w:val="-2"/>
          <w:lang w:val="en-GB" w:eastAsia="ar-SA"/>
        </w:rPr>
        <w:t>Medicine amendment recommendations, with supporting evidence and rationale are listed below.</w:t>
      </w:r>
    </w:p>
    <w:p w14:paraId="61D10EA1" w14:textId="24B0546E" w:rsidR="001F7FDF" w:rsidRPr="00251A7C" w:rsidRDefault="001F7FDF" w:rsidP="001F7FDF">
      <w:pPr>
        <w:spacing w:after="0" w:line="240" w:lineRule="auto"/>
        <w:jc w:val="both"/>
        <w:rPr>
          <w:rFonts w:asciiTheme="minorHAnsi" w:hAnsiTheme="minorHAnsi" w:cstheme="minorHAnsi"/>
          <w:b/>
          <w:spacing w:val="-2"/>
          <w:lang w:val="en-GB" w:eastAsia="ar-SA"/>
        </w:rPr>
      </w:pPr>
      <w:r w:rsidRPr="00251A7C">
        <w:rPr>
          <w:rFonts w:asciiTheme="minorHAnsi" w:hAnsiTheme="minorHAnsi" w:cstheme="minorHAnsi"/>
          <w:b/>
          <w:spacing w:val="-2"/>
          <w:lang w:val="en-GB" w:eastAsia="ar-SA"/>
        </w:rPr>
        <w:t xml:space="preserve">Kindly review the medicine amendments in the context of the </w:t>
      </w:r>
      <w:r w:rsidR="0094466E" w:rsidRPr="00251A7C">
        <w:rPr>
          <w:rFonts w:asciiTheme="minorHAnsi" w:hAnsiTheme="minorHAnsi" w:cstheme="minorHAnsi"/>
          <w:b/>
          <w:spacing w:val="-2"/>
          <w:lang w:val="en-GB" w:eastAsia="ar-SA"/>
        </w:rPr>
        <w:t>respective standard treatment guideline</w:t>
      </w:r>
      <w:r w:rsidR="00B54C01" w:rsidRPr="00251A7C">
        <w:rPr>
          <w:rFonts w:asciiTheme="minorHAnsi" w:hAnsiTheme="minorHAnsi" w:cstheme="minorHAnsi"/>
          <w:b/>
          <w:spacing w:val="-2"/>
          <w:lang w:val="en-GB" w:eastAsia="ar-SA"/>
        </w:rPr>
        <w:t>s</w:t>
      </w:r>
      <w:r w:rsidR="0094466E" w:rsidRPr="00251A7C">
        <w:rPr>
          <w:rFonts w:asciiTheme="minorHAnsi" w:hAnsiTheme="minorHAnsi" w:cstheme="minorHAnsi"/>
          <w:b/>
          <w:spacing w:val="-2"/>
          <w:lang w:val="en-GB" w:eastAsia="ar-SA"/>
        </w:rPr>
        <w:t xml:space="preserve"> (STG</w:t>
      </w:r>
      <w:r w:rsidR="00B54C01" w:rsidRPr="00251A7C">
        <w:rPr>
          <w:rFonts w:asciiTheme="minorHAnsi" w:hAnsiTheme="minorHAnsi" w:cstheme="minorHAnsi"/>
          <w:b/>
          <w:spacing w:val="-2"/>
          <w:lang w:val="en-GB" w:eastAsia="ar-SA"/>
        </w:rPr>
        <w:t>s</w:t>
      </w:r>
      <w:r w:rsidR="0094466E" w:rsidRPr="00251A7C">
        <w:rPr>
          <w:rFonts w:asciiTheme="minorHAnsi" w:hAnsiTheme="minorHAnsi" w:cstheme="minorHAnsi"/>
          <w:b/>
          <w:spacing w:val="-2"/>
          <w:lang w:val="en-GB" w:eastAsia="ar-SA"/>
        </w:rPr>
        <w:t>).</w:t>
      </w:r>
      <w:r w:rsidRPr="00251A7C">
        <w:rPr>
          <w:rFonts w:asciiTheme="minorHAnsi" w:hAnsiTheme="minorHAnsi" w:cstheme="minorHAnsi"/>
          <w:b/>
          <w:spacing w:val="-2"/>
          <w:lang w:val="en-GB" w:eastAsia="ar-SA"/>
        </w:rPr>
        <w:t xml:space="preserve"> </w:t>
      </w:r>
    </w:p>
    <w:p w14:paraId="2F6F2F62" w14:textId="77777777" w:rsidR="00B54C01" w:rsidRPr="00251A7C" w:rsidRDefault="00B54C01" w:rsidP="00E01837">
      <w:pPr>
        <w:spacing w:after="0" w:line="240" w:lineRule="auto"/>
        <w:jc w:val="both"/>
        <w:rPr>
          <w:rFonts w:asciiTheme="minorHAnsi" w:hAnsiTheme="minorHAnsi" w:cstheme="minorHAnsi"/>
          <w:bCs/>
          <w:i/>
          <w:color w:val="000000"/>
          <w:lang w:val="en-GB"/>
        </w:rPr>
      </w:pPr>
    </w:p>
    <w:p w14:paraId="2F445109" w14:textId="77777777" w:rsidR="00B54C01" w:rsidRPr="00251A7C" w:rsidRDefault="00B54C01" w:rsidP="00B54C01">
      <w:pPr>
        <w:spacing w:after="0" w:line="240" w:lineRule="auto"/>
        <w:jc w:val="both"/>
        <w:rPr>
          <w:rFonts w:cs="Calibri"/>
          <w:b/>
          <w:szCs w:val="10"/>
          <w:u w:val="single"/>
          <w:lang w:val="en-GB"/>
        </w:rPr>
      </w:pPr>
      <w:r w:rsidRPr="00251A7C">
        <w:rPr>
          <w:rFonts w:cs="Calibri"/>
          <w:b/>
          <w:szCs w:val="10"/>
          <w:u w:val="single"/>
          <w:lang w:val="en-GB"/>
        </w:rPr>
        <w:t>A: PREVIOUS MEDICINE AMENDMENTS:</w:t>
      </w:r>
    </w:p>
    <w:p w14:paraId="6AE597A4" w14:textId="10B0DE06" w:rsidR="00B54C01" w:rsidRPr="00251A7C" w:rsidRDefault="00B54C01" w:rsidP="00B54C01">
      <w:pPr>
        <w:spacing w:after="0" w:line="240" w:lineRule="auto"/>
        <w:jc w:val="both"/>
        <w:rPr>
          <w:rFonts w:cs="Calibri"/>
          <w:bCs/>
          <w:color w:val="000000"/>
          <w:lang w:val="en-GB"/>
        </w:rPr>
      </w:pPr>
      <w:r w:rsidRPr="00251A7C">
        <w:rPr>
          <w:rFonts w:cs="Calibri"/>
          <w:bCs/>
          <w:color w:val="000000"/>
          <w:lang w:val="en-GB"/>
        </w:rPr>
        <w:t xml:space="preserve">At the NEMLC meeting of the </w:t>
      </w:r>
      <w:r w:rsidR="00375A5A" w:rsidRPr="00251A7C">
        <w:rPr>
          <w:rFonts w:cs="Calibri"/>
          <w:bCs/>
          <w:color w:val="000000"/>
          <w:lang w:val="en-GB"/>
        </w:rPr>
        <w:t>3 December 2020</w:t>
      </w:r>
      <w:r w:rsidRPr="00251A7C">
        <w:rPr>
          <w:rFonts w:cs="Calibri"/>
          <w:bCs/>
          <w:color w:val="000000"/>
          <w:lang w:val="en-GB"/>
        </w:rPr>
        <w:t>, the following was accepted:</w:t>
      </w:r>
    </w:p>
    <w:p w14:paraId="1BDF05CB" w14:textId="03C34392" w:rsidR="00687E6D" w:rsidRPr="00251A7C" w:rsidRDefault="00687E6D" w:rsidP="00687E6D">
      <w:pPr>
        <w:spacing w:after="0" w:line="240" w:lineRule="auto"/>
        <w:jc w:val="both"/>
        <w:rPr>
          <w:rFonts w:asciiTheme="minorHAnsi" w:hAnsiTheme="minorHAnsi" w:cstheme="minorHAnsi"/>
          <w:b/>
          <w:lang w:val="en-GB" w:eastAsia="ar-SA"/>
        </w:rPr>
      </w:pPr>
      <w:r w:rsidRPr="00251A7C">
        <w:rPr>
          <w:rFonts w:asciiTheme="minorHAnsi" w:hAnsiTheme="minorHAnsi" w:cstheme="minorHAnsi"/>
          <w:b/>
          <w:lang w:val="en-GB" w:eastAsia="ar-SA"/>
        </w:rPr>
        <w:t xml:space="preserve">NEW </w:t>
      </w:r>
      <w:r w:rsidR="00375A5A" w:rsidRPr="00251A7C">
        <w:rPr>
          <w:rFonts w:asciiTheme="minorHAnsi" w:hAnsiTheme="minorHAnsi" w:cstheme="minorHAnsi"/>
          <w:b/>
          <w:lang w:val="en-GB" w:eastAsia="ar-SA"/>
        </w:rPr>
        <w:t>STG:</w:t>
      </w:r>
    </w:p>
    <w:tbl>
      <w:tblPr>
        <w:tblStyle w:val="TableGrid"/>
        <w:tblW w:w="5000" w:type="pct"/>
        <w:tblLook w:val="04A0" w:firstRow="1" w:lastRow="0" w:firstColumn="1" w:lastColumn="0" w:noHBand="0" w:noVBand="1"/>
      </w:tblPr>
      <w:tblGrid>
        <w:gridCol w:w="862"/>
        <w:gridCol w:w="3798"/>
        <w:gridCol w:w="1366"/>
        <w:gridCol w:w="4430"/>
      </w:tblGrid>
      <w:tr w:rsidR="00247087" w:rsidRPr="00251A7C" w14:paraId="4B28037C" w14:textId="77777777" w:rsidTr="00375A5A">
        <w:tc>
          <w:tcPr>
            <w:tcW w:w="413" w:type="pct"/>
            <w:shd w:val="clear" w:color="auto" w:fill="DDD9C3" w:themeFill="background2" w:themeFillShade="E6"/>
          </w:tcPr>
          <w:p w14:paraId="55EDFCA9" w14:textId="77777777" w:rsidR="00687E6D" w:rsidRPr="00251A7C" w:rsidRDefault="00687E6D" w:rsidP="00B968C5">
            <w:pPr>
              <w:spacing w:after="0" w:line="240" w:lineRule="auto"/>
              <w:jc w:val="both"/>
              <w:rPr>
                <w:rFonts w:asciiTheme="minorHAnsi" w:hAnsiTheme="minorHAnsi" w:cstheme="minorHAnsi"/>
                <w:b/>
                <w:sz w:val="18"/>
                <w:lang w:val="en-GB" w:eastAsia="ar-SA"/>
              </w:rPr>
            </w:pPr>
            <w:r w:rsidRPr="00251A7C">
              <w:rPr>
                <w:rFonts w:asciiTheme="minorHAnsi" w:hAnsiTheme="minorHAnsi" w:cstheme="minorHAnsi"/>
                <w:b/>
                <w:sz w:val="18"/>
                <w:lang w:val="en-GB" w:eastAsia="ar-SA"/>
              </w:rPr>
              <w:t>SECTION</w:t>
            </w:r>
          </w:p>
        </w:tc>
        <w:tc>
          <w:tcPr>
            <w:tcW w:w="1890" w:type="pct"/>
            <w:shd w:val="clear" w:color="auto" w:fill="DDD9C3" w:themeFill="background2" w:themeFillShade="E6"/>
          </w:tcPr>
          <w:p w14:paraId="2602B6EA" w14:textId="77777777" w:rsidR="00687E6D" w:rsidRPr="00251A7C" w:rsidRDefault="00687E6D" w:rsidP="00B968C5">
            <w:pPr>
              <w:spacing w:after="0" w:line="240" w:lineRule="auto"/>
              <w:jc w:val="both"/>
              <w:rPr>
                <w:rFonts w:asciiTheme="minorHAnsi" w:hAnsiTheme="minorHAnsi" w:cstheme="minorHAnsi"/>
                <w:b/>
                <w:sz w:val="18"/>
                <w:lang w:val="en-GB" w:eastAsia="ar-SA"/>
              </w:rPr>
            </w:pPr>
            <w:r w:rsidRPr="00251A7C">
              <w:rPr>
                <w:rFonts w:asciiTheme="minorHAnsi" w:hAnsiTheme="minorHAnsi" w:cstheme="minorHAnsi"/>
                <w:b/>
                <w:sz w:val="18"/>
                <w:lang w:val="en-GB" w:eastAsia="ar-SA"/>
              </w:rPr>
              <w:t>CONDITION</w:t>
            </w:r>
          </w:p>
        </w:tc>
        <w:tc>
          <w:tcPr>
            <w:tcW w:w="542" w:type="pct"/>
            <w:shd w:val="clear" w:color="auto" w:fill="DDD9C3" w:themeFill="background2" w:themeFillShade="E6"/>
          </w:tcPr>
          <w:p w14:paraId="512FE87A" w14:textId="77777777" w:rsidR="00687E6D" w:rsidRPr="00251A7C" w:rsidRDefault="00687E6D" w:rsidP="00722DD7">
            <w:pPr>
              <w:spacing w:after="0" w:line="240" w:lineRule="auto"/>
              <w:jc w:val="center"/>
              <w:rPr>
                <w:rFonts w:asciiTheme="minorHAnsi" w:hAnsiTheme="minorHAnsi" w:cstheme="minorHAnsi"/>
                <w:b/>
                <w:sz w:val="18"/>
                <w:lang w:val="en-GB" w:eastAsia="ar-SA"/>
              </w:rPr>
            </w:pPr>
            <w:r w:rsidRPr="00251A7C">
              <w:rPr>
                <w:rFonts w:asciiTheme="minorHAnsi" w:hAnsiTheme="minorHAnsi" w:cstheme="minorHAnsi"/>
                <w:b/>
                <w:sz w:val="18"/>
                <w:lang w:val="en-GB" w:eastAsia="ar-SA"/>
              </w:rPr>
              <w:t>MEDICINE MANAGEMENT</w:t>
            </w:r>
          </w:p>
        </w:tc>
        <w:tc>
          <w:tcPr>
            <w:tcW w:w="2155" w:type="pct"/>
            <w:shd w:val="clear" w:color="auto" w:fill="DDD9C3" w:themeFill="background2" w:themeFillShade="E6"/>
          </w:tcPr>
          <w:p w14:paraId="35F67660" w14:textId="77777777" w:rsidR="00687E6D" w:rsidRPr="00251A7C" w:rsidRDefault="00687E6D" w:rsidP="00B968C5">
            <w:pPr>
              <w:spacing w:after="0" w:line="240" w:lineRule="auto"/>
              <w:jc w:val="both"/>
              <w:rPr>
                <w:rFonts w:asciiTheme="minorHAnsi" w:hAnsiTheme="minorHAnsi" w:cstheme="minorHAnsi"/>
                <w:b/>
                <w:sz w:val="18"/>
                <w:lang w:val="en-GB" w:eastAsia="ar-SA"/>
              </w:rPr>
            </w:pPr>
            <w:r w:rsidRPr="00251A7C">
              <w:rPr>
                <w:rFonts w:asciiTheme="minorHAnsi" w:hAnsiTheme="minorHAnsi" w:cstheme="minorHAnsi"/>
                <w:b/>
                <w:sz w:val="18"/>
                <w:lang w:val="en-GB" w:eastAsia="ar-SA"/>
              </w:rPr>
              <w:t>MEDICINE ADDED</w:t>
            </w:r>
          </w:p>
        </w:tc>
      </w:tr>
      <w:tr w:rsidR="00247087" w:rsidRPr="00251A7C" w14:paraId="58ADCF2B" w14:textId="77777777" w:rsidTr="00375A5A">
        <w:tc>
          <w:tcPr>
            <w:tcW w:w="413" w:type="pct"/>
            <w:vMerge w:val="restart"/>
          </w:tcPr>
          <w:p w14:paraId="591A983E"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r w:rsidRPr="00503408">
              <w:rPr>
                <w:rFonts w:asciiTheme="minorHAnsi" w:hAnsiTheme="minorHAnsi" w:cstheme="minorHAnsi"/>
                <w:b/>
                <w:color w:val="A6A6A6" w:themeColor="background1" w:themeShade="A6"/>
                <w:sz w:val="18"/>
                <w:lang w:val="en-GB" w:eastAsia="ar-SA"/>
              </w:rPr>
              <w:t>9.4.2</w:t>
            </w:r>
          </w:p>
        </w:tc>
        <w:tc>
          <w:tcPr>
            <w:tcW w:w="1890" w:type="pct"/>
          </w:tcPr>
          <w:p w14:paraId="6C4F6773" w14:textId="77777777" w:rsidR="00B54C01" w:rsidRPr="00503408" w:rsidRDefault="00B54C01" w:rsidP="00441C9F">
            <w:pPr>
              <w:spacing w:after="0" w:line="240" w:lineRule="auto"/>
              <w:jc w:val="both"/>
              <w:rPr>
                <w:rFonts w:asciiTheme="minorHAnsi" w:hAnsiTheme="minorHAnsi" w:cstheme="minorHAnsi"/>
                <w:b/>
                <w:color w:val="A6A6A6" w:themeColor="background1" w:themeShade="A6"/>
                <w:sz w:val="18"/>
                <w:lang w:val="en-GB" w:eastAsia="ar-SA"/>
              </w:rPr>
            </w:pPr>
            <w:r w:rsidRPr="00503408">
              <w:rPr>
                <w:rFonts w:asciiTheme="minorHAnsi" w:hAnsiTheme="minorHAnsi" w:cstheme="minorHAnsi"/>
                <w:b/>
                <w:color w:val="A6A6A6" w:themeColor="background1" w:themeShade="A6"/>
                <w:sz w:val="18"/>
                <w:lang w:val="en-GB" w:eastAsia="ar-SA"/>
              </w:rPr>
              <w:t>Coronavirus disease-19 (COVID-19)</w:t>
            </w:r>
          </w:p>
        </w:tc>
        <w:tc>
          <w:tcPr>
            <w:tcW w:w="542" w:type="pct"/>
          </w:tcPr>
          <w:p w14:paraId="3D409A51" w14:textId="77777777" w:rsidR="00B54C01" w:rsidRPr="00503408" w:rsidRDefault="00B54C01" w:rsidP="00B968C5">
            <w:pPr>
              <w:spacing w:after="0" w:line="240" w:lineRule="auto"/>
              <w:jc w:val="center"/>
              <w:rPr>
                <w:rFonts w:asciiTheme="minorHAnsi" w:hAnsiTheme="minorHAnsi" w:cstheme="minorHAnsi"/>
                <w:color w:val="A6A6A6" w:themeColor="background1" w:themeShade="A6"/>
                <w:sz w:val="18"/>
                <w:lang w:val="en-GB" w:eastAsia="ar-SA"/>
              </w:rPr>
            </w:pPr>
            <w:r w:rsidRPr="00503408">
              <w:rPr>
                <w:rFonts w:asciiTheme="minorHAnsi" w:hAnsiTheme="minorHAnsi" w:cstheme="minorHAnsi"/>
                <w:color w:val="A6A6A6" w:themeColor="background1" w:themeShade="A6"/>
                <w:sz w:val="18"/>
                <w:lang w:val="en-GB" w:eastAsia="ar-SA"/>
              </w:rPr>
              <w:t>Yes</w:t>
            </w:r>
          </w:p>
        </w:tc>
        <w:tc>
          <w:tcPr>
            <w:tcW w:w="2155" w:type="pct"/>
          </w:tcPr>
          <w:p w14:paraId="726CF2DC" w14:textId="77777777" w:rsidR="00B54C01" w:rsidRPr="00503408" w:rsidRDefault="00B54C01" w:rsidP="00B968C5">
            <w:pPr>
              <w:spacing w:after="0" w:line="240" w:lineRule="auto"/>
              <w:rPr>
                <w:rFonts w:asciiTheme="minorHAnsi" w:hAnsiTheme="minorHAnsi" w:cstheme="minorHAnsi"/>
                <w:color w:val="A6A6A6" w:themeColor="background1" w:themeShade="A6"/>
                <w:spacing w:val="-4"/>
                <w:sz w:val="18"/>
                <w:lang w:val="en-GB" w:eastAsia="ar-SA"/>
              </w:rPr>
            </w:pPr>
            <w:r w:rsidRPr="00503408">
              <w:rPr>
                <w:rFonts w:asciiTheme="minorHAnsi" w:hAnsiTheme="minorHAnsi" w:cstheme="minorHAnsi"/>
                <w:color w:val="A6A6A6" w:themeColor="background1" w:themeShade="A6"/>
                <w:spacing w:val="-4"/>
                <w:sz w:val="18"/>
                <w:lang w:val="en-GB" w:eastAsia="ar-SA"/>
              </w:rPr>
              <w:t>Oxygen</w:t>
            </w:r>
          </w:p>
        </w:tc>
      </w:tr>
      <w:tr w:rsidR="00247087" w:rsidRPr="00251A7C" w14:paraId="7A575C09" w14:textId="77777777" w:rsidTr="00375A5A">
        <w:tc>
          <w:tcPr>
            <w:tcW w:w="413" w:type="pct"/>
            <w:vMerge/>
          </w:tcPr>
          <w:p w14:paraId="1EF1782B"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val="restart"/>
          </w:tcPr>
          <w:p w14:paraId="309BD167" w14:textId="77777777" w:rsidR="00B54C01" w:rsidRPr="00503408" w:rsidRDefault="00B54C01" w:rsidP="00B968C5">
            <w:pPr>
              <w:spacing w:after="0" w:line="240" w:lineRule="auto"/>
              <w:jc w:val="both"/>
              <w:rPr>
                <w:rFonts w:asciiTheme="minorHAnsi" w:hAnsiTheme="minorHAnsi" w:cstheme="minorHAnsi"/>
                <w:color w:val="A6A6A6" w:themeColor="background1" w:themeShade="A6"/>
                <w:spacing w:val="-4"/>
                <w:sz w:val="18"/>
                <w:lang w:val="en-GB" w:eastAsia="ar-SA"/>
              </w:rPr>
            </w:pPr>
            <w:r w:rsidRPr="00503408">
              <w:rPr>
                <w:rFonts w:asciiTheme="minorHAnsi" w:hAnsiTheme="minorHAnsi" w:cstheme="minorHAnsi"/>
                <w:color w:val="A6A6A6" w:themeColor="background1" w:themeShade="A6"/>
                <w:spacing w:val="-4"/>
                <w:sz w:val="18"/>
                <w:lang w:val="en-GB" w:eastAsia="ar-SA"/>
              </w:rPr>
              <w:t xml:space="preserve">- </w:t>
            </w:r>
            <w:r w:rsidRPr="00503408">
              <w:rPr>
                <w:rFonts w:asciiTheme="minorHAnsi" w:hAnsiTheme="minorHAnsi" w:cstheme="minorHAnsi"/>
                <w:i/>
                <w:color w:val="A6A6A6" w:themeColor="background1" w:themeShade="A6"/>
                <w:spacing w:val="-4"/>
                <w:sz w:val="18"/>
                <w:lang w:val="en-GB" w:eastAsia="ar-SA"/>
              </w:rPr>
              <w:t>thromboprophylaxis</w:t>
            </w:r>
          </w:p>
        </w:tc>
        <w:tc>
          <w:tcPr>
            <w:tcW w:w="542" w:type="pct"/>
            <w:vMerge w:val="restart"/>
          </w:tcPr>
          <w:p w14:paraId="64BD36B4" w14:textId="77777777" w:rsidR="00B54C01" w:rsidRPr="00503408" w:rsidRDefault="00B54C01" w:rsidP="004735B1">
            <w:pPr>
              <w:spacing w:after="0" w:line="240" w:lineRule="auto"/>
              <w:jc w:val="center"/>
              <w:rPr>
                <w:rFonts w:asciiTheme="minorHAnsi" w:hAnsiTheme="minorHAnsi" w:cstheme="minorHAnsi"/>
                <w:color w:val="A6A6A6" w:themeColor="background1" w:themeShade="A6"/>
                <w:sz w:val="18"/>
                <w:lang w:val="en-GB" w:eastAsia="ar-SA"/>
              </w:rPr>
            </w:pPr>
            <w:r w:rsidRPr="00503408">
              <w:rPr>
                <w:rFonts w:asciiTheme="minorHAnsi" w:hAnsiTheme="minorHAnsi" w:cstheme="minorHAnsi"/>
                <w:color w:val="A6A6A6" w:themeColor="background1" w:themeShade="A6"/>
                <w:sz w:val="18"/>
                <w:lang w:val="en-GB" w:eastAsia="ar-SA"/>
              </w:rPr>
              <w:t>Yes</w:t>
            </w:r>
          </w:p>
        </w:tc>
        <w:tc>
          <w:tcPr>
            <w:tcW w:w="2155" w:type="pct"/>
          </w:tcPr>
          <w:p w14:paraId="49E892DF" w14:textId="77777777" w:rsidR="00B54C01" w:rsidRPr="00503408" w:rsidRDefault="00B54C01" w:rsidP="004735B1">
            <w:pPr>
              <w:spacing w:after="0" w:line="240" w:lineRule="auto"/>
              <w:rPr>
                <w:rFonts w:asciiTheme="minorHAnsi" w:hAnsiTheme="minorHAnsi"/>
                <w:color w:val="A6A6A6" w:themeColor="background1" w:themeShade="A6"/>
                <w:spacing w:val="-4"/>
                <w:sz w:val="18"/>
                <w:lang w:val="en-GB"/>
              </w:rPr>
            </w:pPr>
            <w:r w:rsidRPr="00503408">
              <w:rPr>
                <w:rFonts w:asciiTheme="minorHAnsi" w:hAnsiTheme="minorHAnsi"/>
                <w:color w:val="A6A6A6" w:themeColor="background1" w:themeShade="A6"/>
                <w:spacing w:val="-4"/>
                <w:sz w:val="18"/>
                <w:lang w:val="en-GB"/>
              </w:rPr>
              <w:t>LMWH therapeutic class</w:t>
            </w:r>
          </w:p>
        </w:tc>
      </w:tr>
      <w:tr w:rsidR="00247087" w:rsidRPr="00251A7C" w14:paraId="7D2AACC3" w14:textId="77777777" w:rsidTr="00375A5A">
        <w:tc>
          <w:tcPr>
            <w:tcW w:w="413" w:type="pct"/>
            <w:vMerge/>
          </w:tcPr>
          <w:p w14:paraId="0472BC1C"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tcPr>
          <w:p w14:paraId="40A734F2" w14:textId="77777777" w:rsidR="00B54C01" w:rsidRPr="00503408" w:rsidRDefault="00B54C01" w:rsidP="00B968C5">
            <w:pPr>
              <w:spacing w:after="0" w:line="240" w:lineRule="auto"/>
              <w:jc w:val="both"/>
              <w:rPr>
                <w:rFonts w:asciiTheme="minorHAnsi" w:hAnsiTheme="minorHAnsi" w:cstheme="minorHAnsi"/>
                <w:color w:val="A6A6A6" w:themeColor="background1" w:themeShade="A6"/>
                <w:spacing w:val="-4"/>
                <w:sz w:val="18"/>
                <w:lang w:val="en-GB" w:eastAsia="ar-SA"/>
              </w:rPr>
            </w:pPr>
          </w:p>
        </w:tc>
        <w:tc>
          <w:tcPr>
            <w:tcW w:w="542" w:type="pct"/>
            <w:vMerge/>
          </w:tcPr>
          <w:p w14:paraId="69A6F949" w14:textId="77777777" w:rsidR="00B54C01" w:rsidRPr="00503408" w:rsidRDefault="00B54C01" w:rsidP="00B968C5">
            <w:pPr>
              <w:spacing w:after="0" w:line="240" w:lineRule="auto"/>
              <w:rPr>
                <w:rFonts w:asciiTheme="minorHAnsi" w:hAnsiTheme="minorHAnsi" w:cstheme="minorHAnsi"/>
                <w:color w:val="A6A6A6" w:themeColor="background1" w:themeShade="A6"/>
                <w:sz w:val="18"/>
                <w:lang w:val="en-GB" w:eastAsia="ar-SA"/>
              </w:rPr>
            </w:pPr>
          </w:p>
        </w:tc>
        <w:tc>
          <w:tcPr>
            <w:tcW w:w="2155" w:type="pct"/>
          </w:tcPr>
          <w:p w14:paraId="45B64966" w14:textId="77777777" w:rsidR="00B54C01" w:rsidRPr="00503408" w:rsidRDefault="00B54C01" w:rsidP="004735B1">
            <w:pPr>
              <w:spacing w:after="0" w:line="240" w:lineRule="auto"/>
              <w:rPr>
                <w:rFonts w:asciiTheme="minorHAnsi" w:hAnsiTheme="minorHAnsi"/>
                <w:color w:val="A6A6A6" w:themeColor="background1" w:themeShade="A6"/>
                <w:spacing w:val="-4"/>
                <w:sz w:val="18"/>
                <w:lang w:val="en-GB"/>
              </w:rPr>
            </w:pPr>
            <w:r w:rsidRPr="00503408">
              <w:rPr>
                <w:rFonts w:asciiTheme="minorHAnsi" w:hAnsiTheme="minorHAnsi"/>
                <w:color w:val="A6A6A6" w:themeColor="background1" w:themeShade="A6"/>
                <w:spacing w:val="-4"/>
                <w:sz w:val="18"/>
                <w:lang w:val="en-GB"/>
              </w:rPr>
              <w:t>Enoxaparin, parenteral as an example of LMWH therapeutic class</w:t>
            </w:r>
          </w:p>
        </w:tc>
      </w:tr>
      <w:tr w:rsidR="00247087" w:rsidRPr="00251A7C" w14:paraId="390EDD21" w14:textId="77777777" w:rsidTr="00375A5A">
        <w:tc>
          <w:tcPr>
            <w:tcW w:w="413" w:type="pct"/>
            <w:vMerge/>
          </w:tcPr>
          <w:p w14:paraId="6932A574"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tcPr>
          <w:p w14:paraId="570253A4" w14:textId="77777777" w:rsidR="00B54C01" w:rsidRPr="00503408" w:rsidRDefault="00B54C01" w:rsidP="00B968C5">
            <w:pPr>
              <w:spacing w:after="0" w:line="240" w:lineRule="auto"/>
              <w:jc w:val="both"/>
              <w:rPr>
                <w:rFonts w:asciiTheme="minorHAnsi" w:hAnsiTheme="minorHAnsi" w:cstheme="minorHAnsi"/>
                <w:color w:val="A6A6A6" w:themeColor="background1" w:themeShade="A6"/>
                <w:spacing w:val="-4"/>
                <w:sz w:val="18"/>
                <w:lang w:val="en-GB" w:eastAsia="ar-SA"/>
              </w:rPr>
            </w:pPr>
          </w:p>
        </w:tc>
        <w:tc>
          <w:tcPr>
            <w:tcW w:w="542" w:type="pct"/>
            <w:vMerge/>
          </w:tcPr>
          <w:p w14:paraId="0F4FA820" w14:textId="77777777" w:rsidR="00B54C01" w:rsidRPr="00503408" w:rsidRDefault="00B54C01" w:rsidP="00B968C5">
            <w:pPr>
              <w:spacing w:after="0" w:line="240" w:lineRule="auto"/>
              <w:rPr>
                <w:rFonts w:asciiTheme="minorHAnsi" w:hAnsiTheme="minorHAnsi" w:cstheme="minorHAnsi"/>
                <w:color w:val="A6A6A6" w:themeColor="background1" w:themeShade="A6"/>
                <w:sz w:val="18"/>
                <w:lang w:val="en-GB" w:eastAsia="ar-SA"/>
              </w:rPr>
            </w:pPr>
          </w:p>
        </w:tc>
        <w:tc>
          <w:tcPr>
            <w:tcW w:w="2155" w:type="pct"/>
          </w:tcPr>
          <w:p w14:paraId="7DF19C87" w14:textId="77777777" w:rsidR="00B54C01" w:rsidRPr="00503408" w:rsidRDefault="00B54C01" w:rsidP="00B968C5">
            <w:pPr>
              <w:spacing w:after="0" w:line="240" w:lineRule="auto"/>
              <w:rPr>
                <w:rFonts w:asciiTheme="minorHAnsi" w:hAnsiTheme="minorHAnsi"/>
                <w:color w:val="A6A6A6" w:themeColor="background1" w:themeShade="A6"/>
                <w:spacing w:val="-4"/>
                <w:sz w:val="18"/>
                <w:lang w:val="en-GB"/>
              </w:rPr>
            </w:pPr>
            <w:r w:rsidRPr="00503408">
              <w:rPr>
                <w:rFonts w:asciiTheme="minorHAnsi" w:hAnsiTheme="minorHAnsi"/>
                <w:color w:val="A6A6A6" w:themeColor="background1" w:themeShade="A6"/>
                <w:spacing w:val="-4"/>
                <w:sz w:val="18"/>
                <w:lang w:val="en-GB"/>
              </w:rPr>
              <w:t>Unfractionated heparin</w:t>
            </w:r>
          </w:p>
        </w:tc>
      </w:tr>
      <w:tr w:rsidR="00247087" w:rsidRPr="00251A7C" w14:paraId="1FDF05F6" w14:textId="77777777" w:rsidTr="00375A5A">
        <w:tc>
          <w:tcPr>
            <w:tcW w:w="413" w:type="pct"/>
            <w:vMerge/>
          </w:tcPr>
          <w:p w14:paraId="0A461F05" w14:textId="77777777" w:rsidR="00B54C01" w:rsidRPr="00503408" w:rsidRDefault="00B54C01" w:rsidP="00722DD7">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val="restart"/>
          </w:tcPr>
          <w:p w14:paraId="3F20C919" w14:textId="77777777" w:rsidR="00B54C01" w:rsidRPr="00503408" w:rsidRDefault="00B54C01" w:rsidP="00722DD7">
            <w:pPr>
              <w:spacing w:after="0" w:line="240" w:lineRule="auto"/>
              <w:jc w:val="both"/>
              <w:rPr>
                <w:rFonts w:asciiTheme="minorHAnsi" w:hAnsiTheme="minorHAnsi" w:cstheme="minorHAnsi"/>
                <w:i/>
                <w:color w:val="A6A6A6" w:themeColor="background1" w:themeShade="A6"/>
                <w:spacing w:val="-4"/>
                <w:sz w:val="18"/>
                <w:lang w:val="en-GB" w:eastAsia="ar-SA"/>
              </w:rPr>
            </w:pPr>
            <w:r w:rsidRPr="00503408">
              <w:rPr>
                <w:rFonts w:asciiTheme="minorHAnsi" w:hAnsiTheme="minorHAnsi" w:cstheme="minorHAnsi"/>
                <w:color w:val="A6A6A6" w:themeColor="background1" w:themeShade="A6"/>
                <w:spacing w:val="-4"/>
                <w:sz w:val="18"/>
                <w:lang w:val="en-GB" w:eastAsia="ar-SA"/>
              </w:rPr>
              <w:t>-</w:t>
            </w:r>
            <w:r w:rsidRPr="00503408">
              <w:rPr>
                <w:rFonts w:asciiTheme="minorHAnsi" w:hAnsiTheme="minorHAnsi" w:cstheme="minorHAnsi"/>
                <w:i/>
                <w:color w:val="A6A6A6" w:themeColor="background1" w:themeShade="A6"/>
                <w:spacing w:val="-4"/>
                <w:sz w:val="18"/>
                <w:lang w:val="en-GB" w:eastAsia="ar-SA"/>
              </w:rPr>
              <w:t>therapeutic treatment with heparin</w:t>
            </w:r>
          </w:p>
        </w:tc>
        <w:tc>
          <w:tcPr>
            <w:tcW w:w="542" w:type="pct"/>
            <w:vMerge w:val="restart"/>
          </w:tcPr>
          <w:p w14:paraId="67CFAC74" w14:textId="77777777" w:rsidR="00B54C01" w:rsidRPr="00503408" w:rsidRDefault="00B54C01" w:rsidP="00722DD7">
            <w:pPr>
              <w:spacing w:after="0" w:line="240" w:lineRule="auto"/>
              <w:jc w:val="center"/>
              <w:rPr>
                <w:rFonts w:asciiTheme="minorHAnsi" w:hAnsiTheme="minorHAnsi" w:cstheme="minorHAnsi"/>
                <w:color w:val="A6A6A6" w:themeColor="background1" w:themeShade="A6"/>
                <w:sz w:val="18"/>
                <w:lang w:val="en-GB" w:eastAsia="ar-SA"/>
              </w:rPr>
            </w:pPr>
            <w:r w:rsidRPr="00503408">
              <w:rPr>
                <w:rFonts w:asciiTheme="minorHAnsi" w:hAnsiTheme="minorHAnsi" w:cstheme="minorHAnsi"/>
                <w:color w:val="A6A6A6" w:themeColor="background1" w:themeShade="A6"/>
                <w:sz w:val="18"/>
                <w:lang w:val="en-GB" w:eastAsia="ar-SA"/>
              </w:rPr>
              <w:t>Yes</w:t>
            </w:r>
          </w:p>
        </w:tc>
        <w:tc>
          <w:tcPr>
            <w:tcW w:w="2155" w:type="pct"/>
          </w:tcPr>
          <w:p w14:paraId="2517DF52" w14:textId="77777777" w:rsidR="00B54C01" w:rsidRPr="00503408" w:rsidRDefault="00B54C01" w:rsidP="00722DD7">
            <w:pPr>
              <w:spacing w:after="0" w:line="240" w:lineRule="auto"/>
              <w:rPr>
                <w:rFonts w:asciiTheme="minorHAnsi" w:hAnsiTheme="minorHAnsi"/>
                <w:color w:val="A6A6A6" w:themeColor="background1" w:themeShade="A6"/>
                <w:spacing w:val="-4"/>
                <w:sz w:val="18"/>
                <w:lang w:val="en-GB"/>
              </w:rPr>
            </w:pPr>
            <w:r w:rsidRPr="00503408">
              <w:rPr>
                <w:rFonts w:asciiTheme="minorHAnsi" w:hAnsiTheme="minorHAnsi"/>
                <w:color w:val="A6A6A6" w:themeColor="background1" w:themeShade="A6"/>
                <w:spacing w:val="-4"/>
                <w:sz w:val="18"/>
                <w:lang w:val="en-GB"/>
              </w:rPr>
              <w:t>LMWH therapeutic class</w:t>
            </w:r>
          </w:p>
        </w:tc>
      </w:tr>
      <w:tr w:rsidR="00247087" w:rsidRPr="00251A7C" w14:paraId="139500DA" w14:textId="77777777" w:rsidTr="00375A5A">
        <w:tc>
          <w:tcPr>
            <w:tcW w:w="413" w:type="pct"/>
            <w:vMerge/>
          </w:tcPr>
          <w:p w14:paraId="49F4788C" w14:textId="77777777" w:rsidR="00B54C01" w:rsidRPr="00503408" w:rsidRDefault="00B54C01" w:rsidP="00722DD7">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tcPr>
          <w:p w14:paraId="42C165F4" w14:textId="77777777" w:rsidR="00B54C01" w:rsidRPr="00503408" w:rsidRDefault="00B54C01" w:rsidP="00722DD7">
            <w:pPr>
              <w:spacing w:after="0" w:line="240" w:lineRule="auto"/>
              <w:jc w:val="both"/>
              <w:rPr>
                <w:rFonts w:asciiTheme="minorHAnsi" w:hAnsiTheme="minorHAnsi" w:cstheme="minorHAnsi"/>
                <w:color w:val="A6A6A6" w:themeColor="background1" w:themeShade="A6"/>
                <w:spacing w:val="-4"/>
                <w:sz w:val="18"/>
                <w:lang w:val="en-GB" w:eastAsia="ar-SA"/>
              </w:rPr>
            </w:pPr>
          </w:p>
        </w:tc>
        <w:tc>
          <w:tcPr>
            <w:tcW w:w="542" w:type="pct"/>
            <w:vMerge/>
          </w:tcPr>
          <w:p w14:paraId="10712C57" w14:textId="77777777" w:rsidR="00B54C01" w:rsidRPr="00503408" w:rsidRDefault="00B54C01" w:rsidP="00722DD7">
            <w:pPr>
              <w:spacing w:after="0" w:line="240" w:lineRule="auto"/>
              <w:rPr>
                <w:rFonts w:asciiTheme="minorHAnsi" w:hAnsiTheme="minorHAnsi" w:cstheme="minorHAnsi"/>
                <w:color w:val="A6A6A6" w:themeColor="background1" w:themeShade="A6"/>
                <w:sz w:val="18"/>
                <w:lang w:val="en-GB" w:eastAsia="ar-SA"/>
              </w:rPr>
            </w:pPr>
          </w:p>
        </w:tc>
        <w:tc>
          <w:tcPr>
            <w:tcW w:w="2155" w:type="pct"/>
          </w:tcPr>
          <w:p w14:paraId="60BED241" w14:textId="77777777" w:rsidR="00B54C01" w:rsidRPr="00503408" w:rsidRDefault="00B54C01" w:rsidP="00722DD7">
            <w:pPr>
              <w:spacing w:after="0" w:line="240" w:lineRule="auto"/>
              <w:rPr>
                <w:rFonts w:asciiTheme="minorHAnsi" w:hAnsiTheme="minorHAnsi"/>
                <w:color w:val="A6A6A6" w:themeColor="background1" w:themeShade="A6"/>
                <w:spacing w:val="-4"/>
                <w:sz w:val="18"/>
                <w:lang w:val="en-GB"/>
              </w:rPr>
            </w:pPr>
            <w:r w:rsidRPr="00503408">
              <w:rPr>
                <w:rFonts w:asciiTheme="minorHAnsi" w:hAnsiTheme="minorHAnsi"/>
                <w:color w:val="A6A6A6" w:themeColor="background1" w:themeShade="A6"/>
                <w:spacing w:val="-4"/>
                <w:sz w:val="18"/>
                <w:lang w:val="en-GB"/>
              </w:rPr>
              <w:t>Enoxaparin, parenteral as an example of LMWH therapeutic class</w:t>
            </w:r>
          </w:p>
        </w:tc>
      </w:tr>
      <w:tr w:rsidR="00247087" w:rsidRPr="00251A7C" w14:paraId="03F95F33" w14:textId="77777777" w:rsidTr="00375A5A">
        <w:tc>
          <w:tcPr>
            <w:tcW w:w="413" w:type="pct"/>
            <w:vMerge/>
          </w:tcPr>
          <w:p w14:paraId="564E5AA0" w14:textId="77777777" w:rsidR="00B54C01" w:rsidRPr="00503408" w:rsidRDefault="00B54C01" w:rsidP="00722DD7">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tcPr>
          <w:p w14:paraId="16F78525" w14:textId="77777777" w:rsidR="00B54C01" w:rsidRPr="00503408" w:rsidRDefault="00B54C01" w:rsidP="00722DD7">
            <w:pPr>
              <w:spacing w:after="0" w:line="240" w:lineRule="auto"/>
              <w:jc w:val="both"/>
              <w:rPr>
                <w:rFonts w:asciiTheme="minorHAnsi" w:hAnsiTheme="minorHAnsi" w:cstheme="minorHAnsi"/>
                <w:color w:val="A6A6A6" w:themeColor="background1" w:themeShade="A6"/>
                <w:spacing w:val="-4"/>
                <w:sz w:val="18"/>
                <w:lang w:val="en-GB" w:eastAsia="ar-SA"/>
              </w:rPr>
            </w:pPr>
          </w:p>
        </w:tc>
        <w:tc>
          <w:tcPr>
            <w:tcW w:w="542" w:type="pct"/>
            <w:vMerge/>
          </w:tcPr>
          <w:p w14:paraId="30BB87D3" w14:textId="77777777" w:rsidR="00B54C01" w:rsidRPr="00503408" w:rsidRDefault="00B54C01" w:rsidP="00722DD7">
            <w:pPr>
              <w:spacing w:after="0" w:line="240" w:lineRule="auto"/>
              <w:rPr>
                <w:rFonts w:asciiTheme="minorHAnsi" w:hAnsiTheme="minorHAnsi" w:cstheme="minorHAnsi"/>
                <w:color w:val="A6A6A6" w:themeColor="background1" w:themeShade="A6"/>
                <w:sz w:val="18"/>
                <w:lang w:val="en-GB" w:eastAsia="ar-SA"/>
              </w:rPr>
            </w:pPr>
          </w:p>
        </w:tc>
        <w:tc>
          <w:tcPr>
            <w:tcW w:w="2155" w:type="pct"/>
          </w:tcPr>
          <w:p w14:paraId="25568A03" w14:textId="77777777" w:rsidR="00B54C01" w:rsidRPr="00503408" w:rsidRDefault="00B54C01" w:rsidP="00722DD7">
            <w:pPr>
              <w:spacing w:after="0" w:line="240" w:lineRule="auto"/>
              <w:rPr>
                <w:rFonts w:asciiTheme="minorHAnsi" w:hAnsiTheme="minorHAnsi"/>
                <w:color w:val="A6A6A6" w:themeColor="background1" w:themeShade="A6"/>
                <w:spacing w:val="-4"/>
                <w:sz w:val="18"/>
                <w:lang w:val="en-GB"/>
              </w:rPr>
            </w:pPr>
            <w:r w:rsidRPr="00503408">
              <w:rPr>
                <w:rFonts w:asciiTheme="minorHAnsi" w:hAnsiTheme="minorHAnsi"/>
                <w:color w:val="A6A6A6" w:themeColor="background1" w:themeShade="A6"/>
                <w:spacing w:val="-4"/>
                <w:sz w:val="18"/>
                <w:lang w:val="en-GB"/>
              </w:rPr>
              <w:t>Unfractionated heparin</w:t>
            </w:r>
          </w:p>
        </w:tc>
      </w:tr>
      <w:tr w:rsidR="00247087" w:rsidRPr="00251A7C" w14:paraId="289F8CFD" w14:textId="77777777" w:rsidTr="00375A5A">
        <w:tc>
          <w:tcPr>
            <w:tcW w:w="413" w:type="pct"/>
            <w:vMerge/>
          </w:tcPr>
          <w:p w14:paraId="10C5CD4B"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val="restart"/>
          </w:tcPr>
          <w:p w14:paraId="0F617EB4" w14:textId="77777777" w:rsidR="00B54C01" w:rsidRPr="00503408" w:rsidRDefault="00B54C01" w:rsidP="006A1509">
            <w:pPr>
              <w:spacing w:after="0" w:line="240" w:lineRule="auto"/>
              <w:jc w:val="both"/>
              <w:rPr>
                <w:rFonts w:asciiTheme="minorHAnsi" w:hAnsiTheme="minorHAnsi" w:cstheme="minorHAnsi"/>
                <w:color w:val="A6A6A6" w:themeColor="background1" w:themeShade="A6"/>
                <w:spacing w:val="-4"/>
                <w:sz w:val="18"/>
                <w:lang w:val="en-GB" w:eastAsia="ar-SA"/>
              </w:rPr>
            </w:pPr>
            <w:r w:rsidRPr="00503408">
              <w:rPr>
                <w:rFonts w:asciiTheme="minorHAnsi" w:hAnsiTheme="minorHAnsi" w:cstheme="minorHAnsi"/>
                <w:color w:val="A6A6A6" w:themeColor="background1" w:themeShade="A6"/>
                <w:spacing w:val="-4"/>
                <w:sz w:val="18"/>
                <w:lang w:val="en-GB" w:eastAsia="ar-SA"/>
              </w:rPr>
              <w:t>-</w:t>
            </w:r>
            <w:r w:rsidRPr="00503408">
              <w:rPr>
                <w:rFonts w:asciiTheme="minorHAnsi" w:hAnsiTheme="minorHAnsi" w:cstheme="minorHAnsi"/>
                <w:i/>
                <w:color w:val="A6A6A6" w:themeColor="background1" w:themeShade="A6"/>
                <w:spacing w:val="-4"/>
                <w:sz w:val="18"/>
                <w:lang w:val="en-GB" w:eastAsia="ar-SA"/>
              </w:rPr>
              <w:t>non-pregnant, requiring supplemental oxygen</w:t>
            </w:r>
          </w:p>
        </w:tc>
        <w:tc>
          <w:tcPr>
            <w:tcW w:w="542" w:type="pct"/>
            <w:vMerge w:val="restart"/>
          </w:tcPr>
          <w:p w14:paraId="2A468BAB" w14:textId="77777777" w:rsidR="00B54C01" w:rsidRPr="00503408" w:rsidRDefault="00B54C01" w:rsidP="006A1509">
            <w:pPr>
              <w:spacing w:after="0" w:line="240" w:lineRule="auto"/>
              <w:jc w:val="center"/>
              <w:rPr>
                <w:rFonts w:asciiTheme="minorHAnsi" w:hAnsiTheme="minorHAnsi" w:cstheme="minorHAnsi"/>
                <w:color w:val="A6A6A6" w:themeColor="background1" w:themeShade="A6"/>
                <w:sz w:val="18"/>
                <w:lang w:val="en-GB" w:eastAsia="ar-SA"/>
              </w:rPr>
            </w:pPr>
            <w:r w:rsidRPr="00503408">
              <w:rPr>
                <w:rFonts w:asciiTheme="minorHAnsi" w:hAnsiTheme="minorHAnsi" w:cstheme="minorHAnsi"/>
                <w:color w:val="A6A6A6" w:themeColor="background1" w:themeShade="A6"/>
                <w:sz w:val="18"/>
                <w:lang w:val="en-GB" w:eastAsia="ar-SA"/>
              </w:rPr>
              <w:t>Yes</w:t>
            </w:r>
          </w:p>
        </w:tc>
        <w:tc>
          <w:tcPr>
            <w:tcW w:w="2155" w:type="pct"/>
          </w:tcPr>
          <w:p w14:paraId="6F68F583" w14:textId="77777777" w:rsidR="00B54C01" w:rsidRPr="00503408" w:rsidRDefault="00B54C01" w:rsidP="00B968C5">
            <w:pPr>
              <w:spacing w:after="0" w:line="240" w:lineRule="auto"/>
              <w:rPr>
                <w:rFonts w:asciiTheme="minorHAnsi" w:hAnsiTheme="minorHAnsi"/>
                <w:color w:val="A6A6A6" w:themeColor="background1" w:themeShade="A6"/>
                <w:spacing w:val="-4"/>
                <w:sz w:val="18"/>
                <w:lang w:val="en-GB"/>
              </w:rPr>
            </w:pPr>
            <w:r w:rsidRPr="00503408">
              <w:rPr>
                <w:rFonts w:asciiTheme="minorHAnsi" w:hAnsiTheme="minorHAnsi"/>
                <w:color w:val="A6A6A6" w:themeColor="background1" w:themeShade="A6"/>
                <w:spacing w:val="-4"/>
                <w:sz w:val="18"/>
                <w:lang w:val="en-GB"/>
              </w:rPr>
              <w:t>Corticosteroid therapeutic class</w:t>
            </w:r>
          </w:p>
        </w:tc>
      </w:tr>
      <w:tr w:rsidR="00247087" w:rsidRPr="00251A7C" w14:paraId="196EB12B" w14:textId="77777777" w:rsidTr="00375A5A">
        <w:tc>
          <w:tcPr>
            <w:tcW w:w="413" w:type="pct"/>
            <w:vMerge/>
          </w:tcPr>
          <w:p w14:paraId="0BF09D0E"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tcPr>
          <w:p w14:paraId="28C5DF14" w14:textId="77777777" w:rsidR="00B54C01" w:rsidRPr="00503408" w:rsidRDefault="00B54C01" w:rsidP="00722DD7">
            <w:pPr>
              <w:spacing w:after="0" w:line="240" w:lineRule="auto"/>
              <w:jc w:val="both"/>
              <w:rPr>
                <w:rFonts w:asciiTheme="minorHAnsi" w:hAnsiTheme="minorHAnsi" w:cstheme="minorHAnsi"/>
                <w:color w:val="A6A6A6" w:themeColor="background1" w:themeShade="A6"/>
                <w:spacing w:val="-4"/>
                <w:sz w:val="18"/>
                <w:lang w:val="en-GB" w:eastAsia="ar-SA"/>
              </w:rPr>
            </w:pPr>
          </w:p>
        </w:tc>
        <w:tc>
          <w:tcPr>
            <w:tcW w:w="542" w:type="pct"/>
            <w:vMerge/>
          </w:tcPr>
          <w:p w14:paraId="4A0BD68F" w14:textId="77777777" w:rsidR="00B54C01" w:rsidRPr="00503408" w:rsidRDefault="00B54C01" w:rsidP="00B968C5">
            <w:pPr>
              <w:spacing w:after="0" w:line="240" w:lineRule="auto"/>
              <w:rPr>
                <w:rFonts w:asciiTheme="minorHAnsi" w:hAnsiTheme="minorHAnsi" w:cstheme="minorHAnsi"/>
                <w:color w:val="A6A6A6" w:themeColor="background1" w:themeShade="A6"/>
                <w:sz w:val="18"/>
                <w:lang w:val="en-GB" w:eastAsia="ar-SA"/>
              </w:rPr>
            </w:pPr>
          </w:p>
        </w:tc>
        <w:tc>
          <w:tcPr>
            <w:tcW w:w="2155" w:type="pct"/>
          </w:tcPr>
          <w:p w14:paraId="4333130D" w14:textId="77777777" w:rsidR="00B54C01" w:rsidRPr="00503408" w:rsidRDefault="00B54C01" w:rsidP="00B968C5">
            <w:pPr>
              <w:spacing w:after="0" w:line="240" w:lineRule="auto"/>
              <w:rPr>
                <w:rFonts w:asciiTheme="minorHAnsi" w:hAnsiTheme="minorHAnsi"/>
                <w:color w:val="A6A6A6" w:themeColor="background1" w:themeShade="A6"/>
                <w:spacing w:val="-4"/>
                <w:sz w:val="18"/>
                <w:lang w:val="en-GB"/>
              </w:rPr>
            </w:pPr>
            <w:r w:rsidRPr="00503408">
              <w:rPr>
                <w:rFonts w:asciiTheme="minorHAnsi" w:hAnsiTheme="minorHAnsi"/>
                <w:color w:val="A6A6A6" w:themeColor="background1" w:themeShade="A6"/>
                <w:spacing w:val="-4"/>
                <w:sz w:val="18"/>
                <w:lang w:val="en-GB"/>
              </w:rPr>
              <w:t>Dexamethasone, parenteral as an example of corticosteroid class</w:t>
            </w:r>
          </w:p>
        </w:tc>
      </w:tr>
      <w:tr w:rsidR="00247087" w:rsidRPr="00251A7C" w14:paraId="27C536ED" w14:textId="77777777" w:rsidTr="006A1509">
        <w:tc>
          <w:tcPr>
            <w:tcW w:w="413" w:type="pct"/>
            <w:vMerge/>
          </w:tcPr>
          <w:p w14:paraId="468F711F"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4587" w:type="pct"/>
            <w:gridSpan w:val="3"/>
          </w:tcPr>
          <w:p w14:paraId="07F39C70" w14:textId="77777777" w:rsidR="00B54C01" w:rsidRPr="00503408" w:rsidRDefault="00B54C01" w:rsidP="006A1509">
            <w:pPr>
              <w:spacing w:after="0" w:line="240" w:lineRule="auto"/>
              <w:rPr>
                <w:color w:val="A6A6A6" w:themeColor="background1" w:themeShade="A6"/>
                <w:spacing w:val="-4"/>
                <w:sz w:val="18"/>
                <w:lang w:val="en-GB"/>
              </w:rPr>
            </w:pPr>
            <w:r w:rsidRPr="00503408">
              <w:rPr>
                <w:rFonts w:asciiTheme="minorHAnsi" w:hAnsiTheme="minorHAnsi" w:cstheme="minorHAnsi"/>
                <w:i/>
                <w:color w:val="A6A6A6" w:themeColor="background1" w:themeShade="A6"/>
                <w:spacing w:val="-4"/>
                <w:sz w:val="18"/>
                <w:lang w:val="en-GB" w:eastAsia="ar-SA"/>
              </w:rPr>
              <w:t>-pregnant, requiring supplemental oxygen</w:t>
            </w:r>
          </w:p>
        </w:tc>
      </w:tr>
      <w:tr w:rsidR="00247087" w:rsidRPr="00251A7C" w14:paraId="069180B5" w14:textId="77777777" w:rsidTr="00375A5A">
        <w:tc>
          <w:tcPr>
            <w:tcW w:w="413" w:type="pct"/>
            <w:vMerge/>
          </w:tcPr>
          <w:p w14:paraId="53D8EB74"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val="restart"/>
          </w:tcPr>
          <w:p w14:paraId="43CD9450" w14:textId="77777777" w:rsidR="00B54C01" w:rsidRPr="00503408" w:rsidRDefault="00B54C01">
            <w:pPr>
              <w:pStyle w:val="ListParagraph"/>
              <w:numPr>
                <w:ilvl w:val="1"/>
                <w:numId w:val="2"/>
              </w:numPr>
              <w:ind w:left="439" w:hanging="142"/>
              <w:jc w:val="both"/>
              <w:rPr>
                <w:rFonts w:asciiTheme="minorHAnsi" w:hAnsiTheme="minorHAnsi" w:cstheme="minorHAnsi"/>
                <w:i/>
                <w:color w:val="A6A6A6" w:themeColor="background1" w:themeShade="A6"/>
                <w:spacing w:val="-4"/>
                <w:sz w:val="18"/>
                <w:szCs w:val="20"/>
                <w:lang w:eastAsia="ar-SA"/>
              </w:rPr>
            </w:pPr>
            <w:r w:rsidRPr="00503408">
              <w:rPr>
                <w:rFonts w:asciiTheme="minorHAnsi" w:hAnsiTheme="minorHAnsi" w:cstheme="minorHAnsi"/>
                <w:i/>
                <w:color w:val="A6A6A6" w:themeColor="background1" w:themeShade="A6"/>
                <w:spacing w:val="-4"/>
                <w:sz w:val="18"/>
                <w:szCs w:val="20"/>
                <w:lang w:eastAsia="ar-SA"/>
              </w:rPr>
              <w:t xml:space="preserve">fetal lung maturity </w:t>
            </w:r>
            <w:r w:rsidRPr="00503408">
              <w:rPr>
                <w:rFonts w:asciiTheme="minorHAnsi" w:hAnsiTheme="minorHAnsi" w:cstheme="minorHAnsi"/>
                <w:b/>
                <w:i/>
                <w:color w:val="A6A6A6" w:themeColor="background1" w:themeShade="A6"/>
                <w:spacing w:val="-4"/>
                <w:sz w:val="18"/>
                <w:szCs w:val="20"/>
                <w:lang w:eastAsia="ar-SA"/>
              </w:rPr>
              <w:t>also</w:t>
            </w:r>
            <w:r w:rsidRPr="00503408">
              <w:rPr>
                <w:rFonts w:asciiTheme="minorHAnsi" w:hAnsiTheme="minorHAnsi" w:cstheme="minorHAnsi"/>
                <w:i/>
                <w:color w:val="A6A6A6" w:themeColor="background1" w:themeShade="A6"/>
                <w:spacing w:val="-4"/>
                <w:sz w:val="18"/>
                <w:szCs w:val="20"/>
                <w:lang w:eastAsia="ar-SA"/>
              </w:rPr>
              <w:t xml:space="preserve"> required</w:t>
            </w:r>
          </w:p>
          <w:p w14:paraId="40BF8C5E" w14:textId="77777777" w:rsidR="00B54C01" w:rsidRPr="00503408" w:rsidRDefault="00B54C01" w:rsidP="006A1509">
            <w:pPr>
              <w:pStyle w:val="ListParagraph"/>
              <w:ind w:left="439"/>
              <w:jc w:val="both"/>
              <w:rPr>
                <w:rFonts w:asciiTheme="minorHAnsi" w:hAnsiTheme="minorHAnsi" w:cstheme="minorHAnsi"/>
                <w:i/>
                <w:color w:val="A6A6A6" w:themeColor="background1" w:themeShade="A6"/>
                <w:spacing w:val="-4"/>
                <w:sz w:val="18"/>
                <w:szCs w:val="20"/>
                <w:lang w:eastAsia="ar-SA"/>
              </w:rPr>
            </w:pPr>
          </w:p>
          <w:p w14:paraId="0F78BAAF" w14:textId="77777777" w:rsidR="00B54C01" w:rsidRPr="00503408" w:rsidRDefault="00B54C01" w:rsidP="006A1509">
            <w:pPr>
              <w:pStyle w:val="ListParagraph"/>
              <w:jc w:val="both"/>
              <w:rPr>
                <w:rFonts w:asciiTheme="minorHAnsi" w:hAnsiTheme="minorHAnsi" w:cstheme="minorHAnsi"/>
                <w:i/>
                <w:color w:val="A6A6A6" w:themeColor="background1" w:themeShade="A6"/>
                <w:spacing w:val="-4"/>
                <w:sz w:val="18"/>
                <w:szCs w:val="20"/>
                <w:lang w:eastAsia="ar-SA"/>
              </w:rPr>
            </w:pPr>
          </w:p>
        </w:tc>
        <w:tc>
          <w:tcPr>
            <w:tcW w:w="542" w:type="pct"/>
            <w:vMerge w:val="restart"/>
          </w:tcPr>
          <w:p w14:paraId="259E7875" w14:textId="77777777" w:rsidR="00B54C01" w:rsidRPr="00503408" w:rsidRDefault="00B54C01" w:rsidP="006A1509">
            <w:pPr>
              <w:spacing w:after="0" w:line="240" w:lineRule="auto"/>
              <w:jc w:val="center"/>
              <w:rPr>
                <w:rFonts w:asciiTheme="minorHAnsi" w:hAnsiTheme="minorHAnsi" w:cstheme="minorHAnsi"/>
                <w:color w:val="A6A6A6" w:themeColor="background1" w:themeShade="A6"/>
                <w:sz w:val="18"/>
                <w:lang w:val="en-GB" w:eastAsia="ar-SA"/>
              </w:rPr>
            </w:pPr>
            <w:r w:rsidRPr="00503408">
              <w:rPr>
                <w:rFonts w:asciiTheme="minorHAnsi" w:hAnsiTheme="minorHAnsi" w:cstheme="minorHAnsi"/>
                <w:color w:val="A6A6A6" w:themeColor="background1" w:themeShade="A6"/>
                <w:sz w:val="18"/>
                <w:lang w:val="en-GB" w:eastAsia="ar-SA"/>
              </w:rPr>
              <w:t>Yes</w:t>
            </w:r>
          </w:p>
        </w:tc>
        <w:tc>
          <w:tcPr>
            <w:tcW w:w="2155" w:type="pct"/>
          </w:tcPr>
          <w:p w14:paraId="4B7FF2C6" w14:textId="77777777" w:rsidR="00B54C01" w:rsidRPr="00503408" w:rsidRDefault="00B54C01" w:rsidP="00B968C5">
            <w:pPr>
              <w:spacing w:after="0" w:line="240" w:lineRule="auto"/>
              <w:rPr>
                <w:color w:val="A6A6A6" w:themeColor="background1" w:themeShade="A6"/>
                <w:spacing w:val="-4"/>
                <w:sz w:val="18"/>
                <w:lang w:val="en-GB"/>
              </w:rPr>
            </w:pPr>
            <w:r w:rsidRPr="00503408">
              <w:rPr>
                <w:color w:val="A6A6A6" w:themeColor="background1" w:themeShade="A6"/>
                <w:spacing w:val="-4"/>
                <w:sz w:val="18"/>
                <w:lang w:val="en-GB"/>
              </w:rPr>
              <w:t>Cross referred to section 6.12: Preterm labour (PTL) and preterm prelabour rupture of membranes (PPROM) (Betamethasone, parenteral)</w:t>
            </w:r>
          </w:p>
        </w:tc>
      </w:tr>
      <w:tr w:rsidR="00247087" w:rsidRPr="00251A7C" w14:paraId="2747EAFB" w14:textId="77777777" w:rsidTr="00375A5A">
        <w:tc>
          <w:tcPr>
            <w:tcW w:w="413" w:type="pct"/>
            <w:vMerge/>
          </w:tcPr>
          <w:p w14:paraId="17034D03"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tcPr>
          <w:p w14:paraId="74AE3AD6" w14:textId="77777777" w:rsidR="00B54C01" w:rsidRPr="00503408" w:rsidRDefault="00B54C01">
            <w:pPr>
              <w:pStyle w:val="ListParagraph"/>
              <w:numPr>
                <w:ilvl w:val="1"/>
                <w:numId w:val="2"/>
              </w:numPr>
              <w:ind w:left="439" w:hanging="142"/>
              <w:jc w:val="both"/>
              <w:rPr>
                <w:rFonts w:asciiTheme="minorHAnsi" w:hAnsiTheme="minorHAnsi" w:cstheme="minorHAnsi"/>
                <w:i/>
                <w:color w:val="A6A6A6" w:themeColor="background1" w:themeShade="A6"/>
                <w:spacing w:val="-4"/>
                <w:sz w:val="18"/>
                <w:lang w:eastAsia="ar-SA"/>
              </w:rPr>
            </w:pPr>
          </w:p>
        </w:tc>
        <w:tc>
          <w:tcPr>
            <w:tcW w:w="542" w:type="pct"/>
            <w:vMerge/>
          </w:tcPr>
          <w:p w14:paraId="5B142046" w14:textId="77777777" w:rsidR="00B54C01" w:rsidRPr="00503408" w:rsidRDefault="00B54C01" w:rsidP="006A1509">
            <w:pPr>
              <w:spacing w:after="0" w:line="240" w:lineRule="auto"/>
              <w:jc w:val="center"/>
              <w:rPr>
                <w:rFonts w:asciiTheme="minorHAnsi" w:hAnsiTheme="minorHAnsi" w:cstheme="minorHAnsi"/>
                <w:color w:val="A6A6A6" w:themeColor="background1" w:themeShade="A6"/>
                <w:sz w:val="18"/>
                <w:lang w:val="en-GB" w:eastAsia="ar-SA"/>
              </w:rPr>
            </w:pPr>
          </w:p>
        </w:tc>
        <w:tc>
          <w:tcPr>
            <w:tcW w:w="2155" w:type="pct"/>
          </w:tcPr>
          <w:p w14:paraId="2E26F313" w14:textId="77777777" w:rsidR="00B54C01" w:rsidRPr="00503408" w:rsidRDefault="00B54C01" w:rsidP="00B968C5">
            <w:pPr>
              <w:spacing w:after="0" w:line="240" w:lineRule="auto"/>
              <w:rPr>
                <w:color w:val="A6A6A6" w:themeColor="background1" w:themeShade="A6"/>
                <w:spacing w:val="-4"/>
                <w:sz w:val="18"/>
                <w:lang w:val="en-GB"/>
              </w:rPr>
            </w:pPr>
            <w:r w:rsidRPr="00503408">
              <w:rPr>
                <w:color w:val="A6A6A6" w:themeColor="background1" w:themeShade="A6"/>
                <w:spacing w:val="-4"/>
                <w:sz w:val="18"/>
                <w:lang w:val="en-GB"/>
              </w:rPr>
              <w:t>Cross referred to section 6.12: Preterm labour (PTL) and preterm prelabour rupture of membranes (PPROM) (Dexamethasone, parenteral)</w:t>
            </w:r>
          </w:p>
        </w:tc>
      </w:tr>
      <w:tr w:rsidR="00247087" w:rsidRPr="00251A7C" w14:paraId="5CDB1534" w14:textId="77777777" w:rsidTr="00375A5A">
        <w:tc>
          <w:tcPr>
            <w:tcW w:w="413" w:type="pct"/>
            <w:vMerge/>
          </w:tcPr>
          <w:p w14:paraId="0D0E792D" w14:textId="77777777" w:rsidR="00B54C01" w:rsidRPr="00503408" w:rsidRDefault="00B54C01" w:rsidP="006A1509">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val="restart"/>
          </w:tcPr>
          <w:p w14:paraId="7F4B6C97" w14:textId="77777777" w:rsidR="00B54C01" w:rsidRPr="00503408" w:rsidRDefault="00B54C01">
            <w:pPr>
              <w:pStyle w:val="ListParagraph"/>
              <w:numPr>
                <w:ilvl w:val="1"/>
                <w:numId w:val="2"/>
              </w:numPr>
              <w:ind w:left="439" w:hanging="142"/>
              <w:jc w:val="both"/>
              <w:rPr>
                <w:rFonts w:asciiTheme="minorHAnsi" w:hAnsiTheme="minorHAnsi" w:cstheme="minorHAnsi"/>
                <w:i/>
                <w:color w:val="A6A6A6" w:themeColor="background1" w:themeShade="A6"/>
                <w:spacing w:val="-4"/>
                <w:sz w:val="18"/>
                <w:lang w:eastAsia="ar-SA"/>
              </w:rPr>
            </w:pPr>
            <w:r w:rsidRPr="00503408">
              <w:rPr>
                <w:rFonts w:asciiTheme="minorHAnsi" w:hAnsiTheme="minorHAnsi" w:cstheme="minorHAnsi"/>
                <w:i/>
                <w:color w:val="A6A6A6" w:themeColor="background1" w:themeShade="A6"/>
                <w:spacing w:val="-4"/>
                <w:sz w:val="18"/>
                <w:lang w:eastAsia="ar-SA"/>
              </w:rPr>
              <w:t xml:space="preserve">fetal lung maturity </w:t>
            </w:r>
            <w:r w:rsidRPr="00503408">
              <w:rPr>
                <w:rFonts w:asciiTheme="minorHAnsi" w:hAnsiTheme="minorHAnsi" w:cstheme="minorHAnsi"/>
                <w:b/>
                <w:i/>
                <w:color w:val="A6A6A6" w:themeColor="background1" w:themeShade="A6"/>
                <w:spacing w:val="-4"/>
                <w:sz w:val="18"/>
                <w:lang w:eastAsia="ar-SA"/>
              </w:rPr>
              <w:t>not</w:t>
            </w:r>
            <w:r w:rsidRPr="00503408">
              <w:rPr>
                <w:rFonts w:asciiTheme="minorHAnsi" w:hAnsiTheme="minorHAnsi" w:cstheme="minorHAnsi"/>
                <w:i/>
                <w:color w:val="A6A6A6" w:themeColor="background1" w:themeShade="A6"/>
                <w:spacing w:val="-4"/>
                <w:sz w:val="18"/>
                <w:lang w:eastAsia="ar-SA"/>
              </w:rPr>
              <w:t xml:space="preserve"> required</w:t>
            </w:r>
          </w:p>
        </w:tc>
        <w:tc>
          <w:tcPr>
            <w:tcW w:w="542" w:type="pct"/>
            <w:vMerge w:val="restart"/>
          </w:tcPr>
          <w:p w14:paraId="0B91D45F" w14:textId="77777777" w:rsidR="00B54C01" w:rsidRPr="00503408" w:rsidRDefault="00B54C01" w:rsidP="006A1509">
            <w:pPr>
              <w:spacing w:after="0" w:line="240" w:lineRule="auto"/>
              <w:jc w:val="center"/>
              <w:rPr>
                <w:rFonts w:asciiTheme="minorHAnsi" w:hAnsiTheme="minorHAnsi" w:cstheme="minorHAnsi"/>
                <w:color w:val="A6A6A6" w:themeColor="background1" w:themeShade="A6"/>
                <w:sz w:val="18"/>
                <w:lang w:val="en-GB" w:eastAsia="ar-SA"/>
              </w:rPr>
            </w:pPr>
            <w:r w:rsidRPr="00503408">
              <w:rPr>
                <w:rFonts w:asciiTheme="minorHAnsi" w:hAnsiTheme="minorHAnsi" w:cstheme="minorHAnsi"/>
                <w:color w:val="A6A6A6" w:themeColor="background1" w:themeShade="A6"/>
                <w:sz w:val="18"/>
                <w:lang w:val="en-GB" w:eastAsia="ar-SA"/>
              </w:rPr>
              <w:t>Yes</w:t>
            </w:r>
          </w:p>
        </w:tc>
        <w:tc>
          <w:tcPr>
            <w:tcW w:w="2155" w:type="pct"/>
          </w:tcPr>
          <w:p w14:paraId="748CE932" w14:textId="77777777" w:rsidR="00B54C01" w:rsidRPr="00503408" w:rsidRDefault="00B54C01" w:rsidP="006A1509">
            <w:pPr>
              <w:spacing w:after="0" w:line="240" w:lineRule="auto"/>
              <w:rPr>
                <w:color w:val="A6A6A6" w:themeColor="background1" w:themeShade="A6"/>
                <w:spacing w:val="-4"/>
                <w:sz w:val="18"/>
                <w:lang w:val="en-GB"/>
              </w:rPr>
            </w:pPr>
            <w:r w:rsidRPr="00503408">
              <w:rPr>
                <w:color w:val="A6A6A6" w:themeColor="background1" w:themeShade="A6"/>
                <w:spacing w:val="-4"/>
                <w:sz w:val="18"/>
                <w:lang w:val="en-GB"/>
              </w:rPr>
              <w:t>Corticosteroid therapeutic class</w:t>
            </w:r>
          </w:p>
        </w:tc>
      </w:tr>
      <w:tr w:rsidR="00247087" w:rsidRPr="00251A7C" w14:paraId="43DB0473" w14:textId="77777777" w:rsidTr="00375A5A">
        <w:tc>
          <w:tcPr>
            <w:tcW w:w="413" w:type="pct"/>
            <w:vMerge/>
          </w:tcPr>
          <w:p w14:paraId="5BC95769" w14:textId="77777777" w:rsidR="00B54C01" w:rsidRPr="00503408" w:rsidRDefault="00B54C01" w:rsidP="006A1509">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tcPr>
          <w:p w14:paraId="562B4A15" w14:textId="77777777" w:rsidR="00B54C01" w:rsidRPr="00503408" w:rsidRDefault="00B54C01" w:rsidP="006A1509">
            <w:pPr>
              <w:spacing w:after="0" w:line="240" w:lineRule="auto"/>
              <w:jc w:val="both"/>
              <w:rPr>
                <w:rFonts w:asciiTheme="minorHAnsi" w:hAnsiTheme="minorHAnsi" w:cstheme="minorHAnsi"/>
                <w:color w:val="A6A6A6" w:themeColor="background1" w:themeShade="A6"/>
                <w:spacing w:val="-4"/>
                <w:sz w:val="18"/>
                <w:lang w:val="en-GB" w:eastAsia="ar-SA"/>
              </w:rPr>
            </w:pPr>
          </w:p>
        </w:tc>
        <w:tc>
          <w:tcPr>
            <w:tcW w:w="542" w:type="pct"/>
            <w:vMerge/>
          </w:tcPr>
          <w:p w14:paraId="55C5F9E5" w14:textId="77777777" w:rsidR="00B54C01" w:rsidRPr="00503408" w:rsidRDefault="00B54C01" w:rsidP="006A1509">
            <w:pPr>
              <w:spacing w:after="0" w:line="240" w:lineRule="auto"/>
              <w:rPr>
                <w:rFonts w:asciiTheme="minorHAnsi" w:hAnsiTheme="minorHAnsi" w:cstheme="minorHAnsi"/>
                <w:color w:val="A6A6A6" w:themeColor="background1" w:themeShade="A6"/>
                <w:sz w:val="18"/>
                <w:lang w:val="en-GB" w:eastAsia="ar-SA"/>
              </w:rPr>
            </w:pPr>
          </w:p>
        </w:tc>
        <w:tc>
          <w:tcPr>
            <w:tcW w:w="2155" w:type="pct"/>
          </w:tcPr>
          <w:p w14:paraId="2710A01B" w14:textId="77777777" w:rsidR="00B54C01" w:rsidRPr="00503408" w:rsidRDefault="00B54C01" w:rsidP="006A1509">
            <w:pPr>
              <w:spacing w:after="0" w:line="240" w:lineRule="auto"/>
              <w:rPr>
                <w:color w:val="A6A6A6" w:themeColor="background1" w:themeShade="A6"/>
                <w:spacing w:val="-4"/>
                <w:sz w:val="18"/>
                <w:lang w:val="en-GB"/>
              </w:rPr>
            </w:pPr>
            <w:r w:rsidRPr="00503408">
              <w:rPr>
                <w:color w:val="A6A6A6" w:themeColor="background1" w:themeShade="A6"/>
                <w:spacing w:val="-4"/>
                <w:sz w:val="18"/>
                <w:lang w:val="en-GB"/>
              </w:rPr>
              <w:t>Dexamethasone, parenteral as an example of corticosteroid class</w:t>
            </w:r>
          </w:p>
        </w:tc>
      </w:tr>
      <w:tr w:rsidR="00247087" w:rsidRPr="00251A7C" w14:paraId="7DB5E92E" w14:textId="77777777" w:rsidTr="00375A5A">
        <w:tc>
          <w:tcPr>
            <w:tcW w:w="413" w:type="pct"/>
            <w:vMerge/>
          </w:tcPr>
          <w:p w14:paraId="4446850C"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val="restart"/>
          </w:tcPr>
          <w:p w14:paraId="606AEBF5" w14:textId="77777777" w:rsidR="00B54C01" w:rsidRPr="00503408" w:rsidRDefault="00B54C01">
            <w:pPr>
              <w:pStyle w:val="ListParagraph"/>
              <w:numPr>
                <w:ilvl w:val="1"/>
                <w:numId w:val="2"/>
              </w:numPr>
              <w:ind w:left="439" w:hanging="142"/>
              <w:jc w:val="both"/>
              <w:rPr>
                <w:rFonts w:asciiTheme="minorHAnsi" w:hAnsiTheme="minorHAnsi" w:cstheme="minorHAnsi"/>
                <w:color w:val="A6A6A6" w:themeColor="background1" w:themeShade="A6"/>
                <w:spacing w:val="-4"/>
                <w:sz w:val="18"/>
                <w:lang w:eastAsia="ar-SA"/>
              </w:rPr>
            </w:pPr>
            <w:r w:rsidRPr="00503408">
              <w:rPr>
                <w:rFonts w:asciiTheme="minorHAnsi" w:hAnsiTheme="minorHAnsi" w:cstheme="minorHAnsi"/>
                <w:i/>
                <w:color w:val="A6A6A6" w:themeColor="background1" w:themeShade="A6"/>
                <w:spacing w:val="-4"/>
                <w:sz w:val="18"/>
                <w:lang w:eastAsia="ar-SA"/>
              </w:rPr>
              <w:t>concern of in-utero steroid exposure</w:t>
            </w:r>
          </w:p>
        </w:tc>
        <w:tc>
          <w:tcPr>
            <w:tcW w:w="542" w:type="pct"/>
            <w:vMerge w:val="restart"/>
          </w:tcPr>
          <w:p w14:paraId="00EB049A" w14:textId="77777777" w:rsidR="00B54C01" w:rsidRPr="00503408" w:rsidRDefault="00B54C01" w:rsidP="00D74759">
            <w:pPr>
              <w:spacing w:after="0" w:line="240" w:lineRule="auto"/>
              <w:jc w:val="center"/>
              <w:rPr>
                <w:rFonts w:asciiTheme="minorHAnsi" w:hAnsiTheme="minorHAnsi" w:cstheme="minorHAnsi"/>
                <w:color w:val="A6A6A6" w:themeColor="background1" w:themeShade="A6"/>
                <w:sz w:val="18"/>
                <w:lang w:val="en-GB" w:eastAsia="ar-SA"/>
              </w:rPr>
            </w:pPr>
            <w:r w:rsidRPr="00503408">
              <w:rPr>
                <w:rFonts w:asciiTheme="minorHAnsi" w:hAnsiTheme="minorHAnsi" w:cstheme="minorHAnsi"/>
                <w:color w:val="A6A6A6" w:themeColor="background1" w:themeShade="A6"/>
                <w:sz w:val="18"/>
                <w:lang w:val="en-GB" w:eastAsia="ar-SA"/>
              </w:rPr>
              <w:t>Yes</w:t>
            </w:r>
          </w:p>
        </w:tc>
        <w:tc>
          <w:tcPr>
            <w:tcW w:w="2155" w:type="pct"/>
          </w:tcPr>
          <w:p w14:paraId="531C3F51" w14:textId="77777777" w:rsidR="00B54C01" w:rsidRPr="00503408" w:rsidRDefault="00B54C01" w:rsidP="00B968C5">
            <w:pPr>
              <w:spacing w:after="0" w:line="240" w:lineRule="auto"/>
              <w:rPr>
                <w:color w:val="A6A6A6" w:themeColor="background1" w:themeShade="A6"/>
                <w:spacing w:val="-4"/>
                <w:sz w:val="18"/>
                <w:lang w:val="en-GB"/>
              </w:rPr>
            </w:pPr>
            <w:r w:rsidRPr="00503408">
              <w:rPr>
                <w:color w:val="A6A6A6" w:themeColor="background1" w:themeShade="A6"/>
                <w:spacing w:val="-4"/>
                <w:sz w:val="18"/>
                <w:lang w:val="en-GB"/>
              </w:rPr>
              <w:t>Prednisone, oral</w:t>
            </w:r>
          </w:p>
        </w:tc>
      </w:tr>
      <w:tr w:rsidR="00247087" w:rsidRPr="00251A7C" w14:paraId="25E8F5B0" w14:textId="77777777" w:rsidTr="00375A5A">
        <w:tc>
          <w:tcPr>
            <w:tcW w:w="413" w:type="pct"/>
            <w:vMerge/>
          </w:tcPr>
          <w:p w14:paraId="46BF7E73"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vMerge/>
          </w:tcPr>
          <w:p w14:paraId="3B62DB9E" w14:textId="77777777" w:rsidR="00B54C01" w:rsidRPr="00503408" w:rsidRDefault="00B54C01" w:rsidP="00722DD7">
            <w:pPr>
              <w:spacing w:after="0" w:line="240" w:lineRule="auto"/>
              <w:jc w:val="both"/>
              <w:rPr>
                <w:rFonts w:asciiTheme="minorHAnsi" w:hAnsiTheme="minorHAnsi" w:cstheme="minorHAnsi"/>
                <w:color w:val="A6A6A6" w:themeColor="background1" w:themeShade="A6"/>
                <w:spacing w:val="-4"/>
                <w:sz w:val="18"/>
                <w:lang w:val="en-GB" w:eastAsia="ar-SA"/>
              </w:rPr>
            </w:pPr>
          </w:p>
        </w:tc>
        <w:tc>
          <w:tcPr>
            <w:tcW w:w="542" w:type="pct"/>
            <w:vMerge/>
          </w:tcPr>
          <w:p w14:paraId="5A900E12" w14:textId="77777777" w:rsidR="00B54C01" w:rsidRPr="00503408" w:rsidRDefault="00B54C01" w:rsidP="00B968C5">
            <w:pPr>
              <w:spacing w:after="0" w:line="240" w:lineRule="auto"/>
              <w:rPr>
                <w:rFonts w:asciiTheme="minorHAnsi" w:hAnsiTheme="minorHAnsi" w:cstheme="minorHAnsi"/>
                <w:color w:val="A6A6A6" w:themeColor="background1" w:themeShade="A6"/>
                <w:sz w:val="18"/>
                <w:lang w:val="en-GB" w:eastAsia="ar-SA"/>
              </w:rPr>
            </w:pPr>
          </w:p>
        </w:tc>
        <w:tc>
          <w:tcPr>
            <w:tcW w:w="2155" w:type="pct"/>
          </w:tcPr>
          <w:p w14:paraId="6378A1ED" w14:textId="77777777" w:rsidR="00B54C01" w:rsidRPr="00503408" w:rsidRDefault="00B54C01" w:rsidP="00B968C5">
            <w:pPr>
              <w:spacing w:after="0" w:line="240" w:lineRule="auto"/>
              <w:rPr>
                <w:color w:val="A6A6A6" w:themeColor="background1" w:themeShade="A6"/>
                <w:spacing w:val="-4"/>
                <w:sz w:val="18"/>
                <w:lang w:val="en-GB"/>
              </w:rPr>
            </w:pPr>
            <w:r w:rsidRPr="00503408">
              <w:rPr>
                <w:color w:val="A6A6A6" w:themeColor="background1" w:themeShade="A6"/>
                <w:spacing w:val="-4"/>
                <w:sz w:val="18"/>
                <w:lang w:val="en-GB"/>
              </w:rPr>
              <w:t>Hydrocortisone, parenteral</w:t>
            </w:r>
          </w:p>
        </w:tc>
      </w:tr>
      <w:tr w:rsidR="00247087" w:rsidRPr="00251A7C" w14:paraId="48776B68" w14:textId="77777777" w:rsidTr="00375A5A">
        <w:tc>
          <w:tcPr>
            <w:tcW w:w="413" w:type="pct"/>
            <w:vMerge/>
          </w:tcPr>
          <w:p w14:paraId="58C17C3F" w14:textId="77777777" w:rsidR="00B54C01" w:rsidRPr="00503408" w:rsidRDefault="00B54C01" w:rsidP="00B968C5">
            <w:pPr>
              <w:spacing w:after="0" w:line="240" w:lineRule="auto"/>
              <w:jc w:val="both"/>
              <w:rPr>
                <w:rFonts w:asciiTheme="minorHAnsi" w:hAnsiTheme="minorHAnsi" w:cstheme="minorHAnsi"/>
                <w:b/>
                <w:color w:val="A6A6A6" w:themeColor="background1" w:themeShade="A6"/>
                <w:sz w:val="18"/>
                <w:lang w:val="en-GB" w:eastAsia="ar-SA"/>
              </w:rPr>
            </w:pPr>
          </w:p>
        </w:tc>
        <w:tc>
          <w:tcPr>
            <w:tcW w:w="1890" w:type="pct"/>
          </w:tcPr>
          <w:p w14:paraId="11C8560E" w14:textId="1E3AD09D" w:rsidR="00B54C01" w:rsidRPr="00503408" w:rsidRDefault="00B54C01" w:rsidP="00B54C01">
            <w:pPr>
              <w:spacing w:after="0" w:line="240" w:lineRule="auto"/>
              <w:rPr>
                <w:rFonts w:asciiTheme="minorHAnsi" w:hAnsiTheme="minorHAnsi" w:cstheme="minorHAnsi"/>
                <w:color w:val="A6A6A6" w:themeColor="background1" w:themeShade="A6"/>
                <w:spacing w:val="-4"/>
                <w:sz w:val="18"/>
                <w:lang w:val="en-GB" w:eastAsia="ar-SA"/>
              </w:rPr>
            </w:pPr>
            <w:r w:rsidRPr="00503408">
              <w:rPr>
                <w:rFonts w:asciiTheme="minorHAnsi" w:hAnsiTheme="minorHAnsi" w:cstheme="minorHAnsi"/>
                <w:color w:val="A6A6A6" w:themeColor="background1" w:themeShade="A6"/>
                <w:spacing w:val="-4"/>
                <w:sz w:val="18"/>
                <w:lang w:val="en-GB" w:eastAsia="ar-SA"/>
              </w:rPr>
              <w:t xml:space="preserve">- </w:t>
            </w:r>
            <w:r w:rsidRPr="00503408">
              <w:rPr>
                <w:rFonts w:asciiTheme="minorHAnsi" w:hAnsiTheme="minorHAnsi" w:cstheme="minorHAnsi"/>
                <w:i/>
                <w:iCs/>
                <w:color w:val="A6A6A6" w:themeColor="background1" w:themeShade="A6"/>
                <w:spacing w:val="-4"/>
                <w:sz w:val="18"/>
                <w:lang w:val="en-GB" w:eastAsia="ar-SA"/>
              </w:rPr>
              <w:t>management of covid-19 in uncontrolled diabetics</w:t>
            </w:r>
          </w:p>
        </w:tc>
        <w:tc>
          <w:tcPr>
            <w:tcW w:w="542" w:type="pct"/>
          </w:tcPr>
          <w:p w14:paraId="4D9A1068" w14:textId="1C63C482" w:rsidR="00B54C01" w:rsidRPr="00503408" w:rsidRDefault="00B54C01" w:rsidP="00B54C01">
            <w:pPr>
              <w:spacing w:after="0" w:line="240" w:lineRule="auto"/>
              <w:jc w:val="center"/>
              <w:rPr>
                <w:rFonts w:asciiTheme="minorHAnsi" w:hAnsiTheme="minorHAnsi" w:cstheme="minorHAnsi"/>
                <w:color w:val="A6A6A6" w:themeColor="background1" w:themeShade="A6"/>
                <w:sz w:val="18"/>
                <w:lang w:val="en-GB" w:eastAsia="ar-SA"/>
              </w:rPr>
            </w:pPr>
            <w:r w:rsidRPr="00503408">
              <w:rPr>
                <w:rFonts w:asciiTheme="minorHAnsi" w:hAnsiTheme="minorHAnsi" w:cstheme="minorHAnsi"/>
                <w:color w:val="A6A6A6" w:themeColor="background1" w:themeShade="A6"/>
                <w:sz w:val="18"/>
                <w:lang w:val="en-GB" w:eastAsia="ar-SA"/>
              </w:rPr>
              <w:t>No</w:t>
            </w:r>
          </w:p>
        </w:tc>
        <w:tc>
          <w:tcPr>
            <w:tcW w:w="2155" w:type="pct"/>
          </w:tcPr>
          <w:p w14:paraId="2A743DE6" w14:textId="06AC9CBD" w:rsidR="00B54C01" w:rsidRPr="00503408" w:rsidRDefault="00B54C01" w:rsidP="00B968C5">
            <w:pPr>
              <w:spacing w:after="0" w:line="240" w:lineRule="auto"/>
              <w:rPr>
                <w:color w:val="A6A6A6" w:themeColor="background1" w:themeShade="A6"/>
                <w:spacing w:val="-4"/>
                <w:sz w:val="18"/>
                <w:lang w:val="en-GB"/>
              </w:rPr>
            </w:pPr>
            <w:r w:rsidRPr="00503408">
              <w:rPr>
                <w:color w:val="A6A6A6" w:themeColor="background1" w:themeShade="A6"/>
                <w:spacing w:val="-4"/>
                <w:sz w:val="18"/>
                <w:lang w:val="en-GB"/>
              </w:rPr>
              <w:t>No, but hyperglycaemia in COVID-19 to be treated as in other critically ill patients (target blood glucose of ≤10 mmol/L)</w:t>
            </w:r>
          </w:p>
        </w:tc>
      </w:tr>
    </w:tbl>
    <w:p w14:paraId="434D6408" w14:textId="162EC79B" w:rsidR="00375A5A" w:rsidRPr="00251A7C" w:rsidRDefault="00375A5A" w:rsidP="00375A5A">
      <w:pPr>
        <w:widowControl w:val="0"/>
        <w:autoSpaceDE w:val="0"/>
        <w:autoSpaceDN w:val="0"/>
        <w:adjustRightInd w:val="0"/>
        <w:spacing w:after="0" w:line="240" w:lineRule="auto"/>
        <w:jc w:val="both"/>
        <w:rPr>
          <w:rFonts w:cs="Calibri"/>
          <w:lang w:val="en-GB" w:eastAsia="ar-SA"/>
        </w:rPr>
      </w:pPr>
      <w:r w:rsidRPr="00251A7C">
        <w:rPr>
          <w:rFonts w:cs="Calibri"/>
          <w:lang w:val="en-GB" w:eastAsia="ar-SA"/>
        </w:rPr>
        <w:t xml:space="preserve">Refer to the NEMLC report and review that were tabled at the meeting of </w:t>
      </w:r>
      <w:r w:rsidR="00826F89" w:rsidRPr="00251A7C">
        <w:rPr>
          <w:rFonts w:cs="Calibri"/>
          <w:lang w:val="en-GB" w:eastAsia="ar-SA"/>
        </w:rPr>
        <w:t>3 December 2020</w:t>
      </w:r>
      <w:r w:rsidRPr="00251A7C">
        <w:rPr>
          <w:rFonts w:cs="Calibri"/>
          <w:lang w:val="en-GB" w:eastAsia="ar-SA"/>
        </w:rPr>
        <w:t>; as well as the NEMLC minutes of the respective meeting (</w:t>
      </w:r>
      <w:r w:rsidR="00826F89" w:rsidRPr="00251A7C">
        <w:rPr>
          <w:rFonts w:cs="Calibri"/>
          <w:lang w:val="en-GB" w:eastAsia="ar-SA"/>
        </w:rPr>
        <w:t>Infections chapter</w:t>
      </w:r>
      <w:r w:rsidRPr="00251A7C">
        <w:rPr>
          <w:rFonts w:cs="Calibri"/>
          <w:lang w:val="en-GB" w:eastAsia="ar-SA"/>
        </w:rPr>
        <w:t xml:space="preserve"> extract) embedded below:</w:t>
      </w:r>
    </w:p>
    <w:p w14:paraId="0B0365D8" w14:textId="7D22C293" w:rsidR="00375A5A" w:rsidRPr="00251A7C" w:rsidRDefault="00583229" w:rsidP="00375A5A">
      <w:pPr>
        <w:widowControl w:val="0"/>
        <w:autoSpaceDE w:val="0"/>
        <w:autoSpaceDN w:val="0"/>
        <w:adjustRightInd w:val="0"/>
        <w:spacing w:after="0" w:line="240" w:lineRule="auto"/>
        <w:jc w:val="both"/>
        <w:rPr>
          <w:rFonts w:eastAsia="Times New Roman" w:cstheme="minorHAnsi"/>
          <w:b/>
          <w:sz w:val="20"/>
          <w:szCs w:val="20"/>
          <w:lang w:val="en-GB"/>
        </w:rPr>
      </w:pPr>
      <w:bookmarkStart w:id="0" w:name="_MON_1722534911"/>
      <w:bookmarkEnd w:id="0"/>
      <w:r>
        <w:rPr>
          <w:rFonts w:eastAsia="Times New Roman" w:cstheme="minorHAnsi"/>
          <w:b/>
          <w:sz w:val="20"/>
          <w:szCs w:val="20"/>
          <w:lang w:val="en-GB"/>
        </w:rPr>
        <w:pict w14:anchorId="3D94F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2pt">
            <v:imagedata r:id="rId8" o:title=""/>
          </v:shape>
        </w:pict>
      </w:r>
      <w:bookmarkStart w:id="1" w:name="_MON_1722534925"/>
      <w:bookmarkEnd w:id="1"/>
      <w:r>
        <w:rPr>
          <w:rFonts w:eastAsia="Times New Roman" w:cstheme="minorHAnsi"/>
          <w:b/>
          <w:sz w:val="20"/>
          <w:szCs w:val="20"/>
          <w:lang w:val="en-GB"/>
        </w:rPr>
        <w:pict w14:anchorId="2024D725">
          <v:shape id="_x0000_i1026" type="#_x0000_t75" style="width:76.15pt;height:49.2pt">
            <v:imagedata r:id="rId9" o:title=""/>
          </v:shape>
        </w:pict>
      </w:r>
      <w:bookmarkStart w:id="2" w:name="_MON_1722534948"/>
      <w:bookmarkEnd w:id="2"/>
      <w:r w:rsidR="00000000">
        <w:rPr>
          <w:rFonts w:eastAsia="Times New Roman" w:cstheme="minorHAnsi"/>
          <w:b/>
          <w:sz w:val="20"/>
          <w:szCs w:val="20"/>
          <w:lang w:val="en-GB"/>
        </w:rPr>
        <w:pict w14:anchorId="503A3465">
          <v:shape id="_x0000_i1027" type="#_x0000_t75" style="width:76.15pt;height:49.2pt">
            <v:imagedata r:id="rId10" o:title=""/>
          </v:shape>
        </w:pict>
      </w:r>
      <w:r w:rsidR="00000000">
        <w:rPr>
          <w:rFonts w:eastAsia="Times New Roman" w:cstheme="minorHAnsi"/>
          <w:b/>
          <w:sz w:val="20"/>
          <w:szCs w:val="20"/>
          <w:lang w:val="en-GB"/>
        </w:rPr>
        <w:pict w14:anchorId="4396AB72">
          <v:shape id="_x0000_i1028" type="#_x0000_t75" style="width:76.1pt;height:49.25pt">
            <v:imagedata r:id="rId11" o:title=""/>
          </v:shape>
        </w:pict>
      </w:r>
      <w:r w:rsidR="00000000">
        <w:rPr>
          <w:rFonts w:eastAsia="Times New Roman" w:cstheme="minorHAnsi"/>
          <w:b/>
          <w:sz w:val="20"/>
          <w:szCs w:val="20"/>
          <w:lang w:val="en-GB"/>
        </w:rPr>
        <w:pict w14:anchorId="5854FE14">
          <v:shape id="_x0000_i1029" type="#_x0000_t75" style="width:76.1pt;height:49.25pt">
            <v:imagedata r:id="rId12" o:title=""/>
          </v:shape>
        </w:pict>
      </w:r>
      <w:r w:rsidR="00000000">
        <w:rPr>
          <w:rFonts w:eastAsia="Times New Roman" w:cstheme="minorHAnsi"/>
          <w:b/>
          <w:sz w:val="20"/>
          <w:szCs w:val="20"/>
          <w:lang w:val="en-GB"/>
        </w:rPr>
        <w:pict w14:anchorId="7E5DDB8C">
          <v:shape id="_x0000_i1030" type="#_x0000_t75" style="width:76.1pt;height:49.25pt">
            <v:imagedata r:id="rId13" o:title=""/>
          </v:shape>
        </w:pict>
      </w:r>
      <w:bookmarkStart w:id="3" w:name="_MON_1722535013"/>
      <w:bookmarkEnd w:id="3"/>
      <w:r>
        <w:rPr>
          <w:rFonts w:eastAsia="Times New Roman" w:cstheme="minorHAnsi"/>
          <w:b/>
          <w:sz w:val="20"/>
          <w:szCs w:val="20"/>
          <w:lang w:val="en-GB"/>
        </w:rPr>
        <w:pict w14:anchorId="546BA612">
          <v:shape id="_x0000_i1031" type="#_x0000_t75" style="width:76.1pt;height:49.25pt">
            <v:imagedata r:id="rId14" o:title=""/>
          </v:shape>
        </w:pict>
      </w:r>
    </w:p>
    <w:p w14:paraId="398F79BD" w14:textId="77777777" w:rsidR="00826F89" w:rsidRPr="00251A7C" w:rsidRDefault="00826F89" w:rsidP="00375A5A">
      <w:pPr>
        <w:widowControl w:val="0"/>
        <w:autoSpaceDE w:val="0"/>
        <w:autoSpaceDN w:val="0"/>
        <w:adjustRightInd w:val="0"/>
        <w:spacing w:after="0" w:line="240" w:lineRule="auto"/>
        <w:jc w:val="both"/>
        <w:rPr>
          <w:rFonts w:eastAsia="Times New Roman" w:cstheme="minorHAnsi"/>
          <w:b/>
          <w:sz w:val="20"/>
          <w:szCs w:val="20"/>
          <w:lang w:val="en-GB"/>
        </w:rPr>
      </w:pPr>
    </w:p>
    <w:p w14:paraId="1C66C844" w14:textId="187DA53E" w:rsidR="00375A5A" w:rsidRPr="00251A7C" w:rsidRDefault="00375A5A" w:rsidP="00375A5A">
      <w:pPr>
        <w:tabs>
          <w:tab w:val="left" w:pos="0"/>
        </w:tabs>
        <w:spacing w:after="0" w:line="240" w:lineRule="auto"/>
        <w:jc w:val="both"/>
        <w:rPr>
          <w:rFonts w:cs="Calibri"/>
          <w:spacing w:val="-2"/>
          <w:lang w:val="en-GB"/>
        </w:rPr>
      </w:pPr>
      <w:r w:rsidRPr="00251A7C">
        <w:rPr>
          <w:rFonts w:cs="Calibri"/>
          <w:spacing w:val="-2"/>
          <w:lang w:val="en-GB"/>
        </w:rPr>
        <w:t xml:space="preserve">Additional amendments were made to the </w:t>
      </w:r>
      <w:r w:rsidR="00826F89" w:rsidRPr="00251A7C">
        <w:rPr>
          <w:rFonts w:cs="Calibri"/>
          <w:b/>
          <w:bCs/>
          <w:i/>
          <w:iCs/>
          <w:spacing w:val="-2"/>
          <w:lang w:val="en-GB"/>
        </w:rPr>
        <w:t xml:space="preserve">rest of the </w:t>
      </w:r>
      <w:r w:rsidRPr="00251A7C">
        <w:rPr>
          <w:rFonts w:cs="Calibri"/>
          <w:b/>
          <w:bCs/>
          <w:i/>
          <w:iCs/>
          <w:spacing w:val="-2"/>
          <w:lang w:val="en-GB"/>
        </w:rPr>
        <w:t>chapter</w:t>
      </w:r>
      <w:r w:rsidRPr="00251A7C">
        <w:rPr>
          <w:rFonts w:cs="Calibri"/>
          <w:spacing w:val="-2"/>
          <w:lang w:val="en-GB"/>
        </w:rPr>
        <w:t xml:space="preserve">, following receipt of </w:t>
      </w:r>
      <w:r w:rsidR="00826F89" w:rsidRPr="00251A7C">
        <w:rPr>
          <w:rFonts w:cs="Calibri"/>
          <w:b/>
          <w:bCs/>
          <w:i/>
          <w:iCs/>
          <w:spacing w:val="-2"/>
          <w:lang w:val="en-GB"/>
        </w:rPr>
        <w:t xml:space="preserve">initial </w:t>
      </w:r>
      <w:r w:rsidRPr="00251A7C">
        <w:rPr>
          <w:rFonts w:cs="Calibri"/>
          <w:b/>
          <w:bCs/>
          <w:i/>
          <w:iCs/>
          <w:spacing w:val="-2"/>
          <w:lang w:val="en-GB"/>
        </w:rPr>
        <w:t>comments</w:t>
      </w:r>
      <w:r w:rsidRPr="00251A7C">
        <w:rPr>
          <w:rFonts w:cs="Calibri"/>
          <w:spacing w:val="-2"/>
          <w:lang w:val="en-GB"/>
        </w:rPr>
        <w:t xml:space="preserve"> from external stakeholders</w:t>
      </w:r>
      <w:r w:rsidR="008F728F" w:rsidRPr="00251A7C">
        <w:rPr>
          <w:rFonts w:cs="Calibri"/>
          <w:spacing w:val="-2"/>
          <w:lang w:val="en-GB"/>
        </w:rPr>
        <w:t xml:space="preserve"> and following additional recommendations made at the NEMLC meetings of 25 August 2022 and 20 October 2022</w:t>
      </w:r>
    </w:p>
    <w:p w14:paraId="2E1DA668" w14:textId="77777777" w:rsidR="00375A5A" w:rsidRPr="00251A7C" w:rsidRDefault="00375A5A" w:rsidP="00375A5A">
      <w:pPr>
        <w:tabs>
          <w:tab w:val="left" w:pos="0"/>
        </w:tabs>
        <w:spacing w:after="0" w:line="240" w:lineRule="auto"/>
        <w:jc w:val="both"/>
        <w:rPr>
          <w:rFonts w:cs="Calibri"/>
          <w:spacing w:val="-2"/>
          <w:lang w:val="en-GB"/>
        </w:rPr>
      </w:pPr>
    </w:p>
    <w:p w14:paraId="4285A51E" w14:textId="77777777" w:rsidR="00375A5A" w:rsidRPr="00251A7C" w:rsidRDefault="00375A5A" w:rsidP="00375A5A">
      <w:pPr>
        <w:spacing w:after="0" w:line="240" w:lineRule="auto"/>
        <w:jc w:val="both"/>
        <w:rPr>
          <w:rFonts w:cs="Calibri"/>
          <w:b/>
          <w:spacing w:val="-2"/>
          <w:u w:val="single"/>
          <w:lang w:val="en-GB"/>
        </w:rPr>
      </w:pPr>
      <w:r w:rsidRPr="00251A7C">
        <w:rPr>
          <w:rFonts w:cs="Calibri"/>
          <w:b/>
          <w:spacing w:val="-2"/>
          <w:u w:val="single"/>
          <w:lang w:val="en-GB"/>
        </w:rPr>
        <w:t>B: ADDITIONAL MEDICINE AMENDMENTS</w:t>
      </w:r>
    </w:p>
    <w:tbl>
      <w:tblPr>
        <w:tblStyle w:val="TableGrid41"/>
        <w:tblW w:w="5000" w:type="pct"/>
        <w:tblLook w:val="04A0" w:firstRow="1" w:lastRow="0" w:firstColumn="1" w:lastColumn="0" w:noHBand="0" w:noVBand="1"/>
      </w:tblPr>
      <w:tblGrid>
        <w:gridCol w:w="3446"/>
        <w:gridCol w:w="1972"/>
        <w:gridCol w:w="5038"/>
      </w:tblGrid>
      <w:tr w:rsidR="003704DB" w:rsidRPr="00251A7C" w14:paraId="6EC8DAAB" w14:textId="77777777" w:rsidTr="00EA2412">
        <w:tc>
          <w:tcPr>
            <w:tcW w:w="1648" w:type="pct"/>
            <w:shd w:val="clear" w:color="auto" w:fill="DDD9C3"/>
          </w:tcPr>
          <w:p w14:paraId="1A2B68D4" w14:textId="77777777" w:rsidR="003704DB" w:rsidRPr="00251A7C" w:rsidRDefault="003704DB" w:rsidP="00EA2412">
            <w:pPr>
              <w:spacing w:after="0" w:line="240" w:lineRule="auto"/>
              <w:jc w:val="both"/>
              <w:rPr>
                <w:rFonts w:asciiTheme="minorHAnsi" w:hAnsiTheme="minorHAnsi" w:cstheme="minorHAnsi"/>
                <w:b/>
                <w:sz w:val="18"/>
                <w:szCs w:val="18"/>
                <w:lang w:val="en-GB"/>
              </w:rPr>
            </w:pPr>
            <w:r w:rsidRPr="00251A7C">
              <w:rPr>
                <w:rFonts w:asciiTheme="minorHAnsi" w:hAnsiTheme="minorHAnsi" w:cstheme="minorHAnsi"/>
                <w:b/>
                <w:sz w:val="18"/>
                <w:szCs w:val="18"/>
                <w:lang w:val="en-GB"/>
              </w:rPr>
              <w:t>SECTION</w:t>
            </w:r>
          </w:p>
        </w:tc>
        <w:tc>
          <w:tcPr>
            <w:tcW w:w="943" w:type="pct"/>
            <w:shd w:val="clear" w:color="auto" w:fill="DDD9C3"/>
          </w:tcPr>
          <w:p w14:paraId="0E6142BE" w14:textId="77777777" w:rsidR="003704DB" w:rsidRPr="00251A7C" w:rsidRDefault="003704DB" w:rsidP="00EA2412">
            <w:pPr>
              <w:spacing w:after="0" w:line="240" w:lineRule="auto"/>
              <w:jc w:val="both"/>
              <w:rPr>
                <w:rFonts w:asciiTheme="minorHAnsi" w:hAnsiTheme="minorHAnsi" w:cstheme="minorHAnsi"/>
                <w:b/>
                <w:sz w:val="18"/>
                <w:szCs w:val="18"/>
                <w:lang w:val="en-GB"/>
              </w:rPr>
            </w:pPr>
            <w:r w:rsidRPr="00251A7C">
              <w:rPr>
                <w:rFonts w:asciiTheme="minorHAnsi" w:hAnsiTheme="minorHAnsi" w:cstheme="minorHAnsi"/>
                <w:b/>
                <w:sz w:val="18"/>
                <w:szCs w:val="18"/>
                <w:lang w:val="en-GB"/>
              </w:rPr>
              <w:t>MEDICINE</w:t>
            </w:r>
          </w:p>
        </w:tc>
        <w:tc>
          <w:tcPr>
            <w:tcW w:w="2409" w:type="pct"/>
            <w:shd w:val="clear" w:color="auto" w:fill="DDD9C3"/>
          </w:tcPr>
          <w:p w14:paraId="444A3B11" w14:textId="77777777" w:rsidR="003704DB" w:rsidRPr="00251A7C" w:rsidRDefault="003704DB" w:rsidP="00EA2412">
            <w:pPr>
              <w:spacing w:after="0" w:line="240" w:lineRule="auto"/>
              <w:jc w:val="both"/>
              <w:rPr>
                <w:rFonts w:asciiTheme="minorHAnsi" w:hAnsiTheme="minorHAnsi" w:cstheme="minorHAnsi"/>
                <w:b/>
                <w:sz w:val="18"/>
                <w:szCs w:val="18"/>
                <w:lang w:val="en-GB"/>
              </w:rPr>
            </w:pPr>
            <w:r w:rsidRPr="00251A7C">
              <w:rPr>
                <w:rFonts w:asciiTheme="minorHAnsi" w:hAnsiTheme="minorHAnsi" w:cstheme="minorHAnsi"/>
                <w:b/>
                <w:sz w:val="18"/>
                <w:szCs w:val="18"/>
                <w:lang w:val="en-GB"/>
              </w:rPr>
              <w:t>ADDED/DELETED/AMENDED</w:t>
            </w:r>
          </w:p>
        </w:tc>
      </w:tr>
      <w:tr w:rsidR="003704DB" w:rsidRPr="00251A7C" w14:paraId="1E896BB2" w14:textId="77777777" w:rsidTr="00EA2412">
        <w:tc>
          <w:tcPr>
            <w:tcW w:w="5000" w:type="pct"/>
            <w:gridSpan w:val="3"/>
          </w:tcPr>
          <w:p w14:paraId="2A79D266" w14:textId="77777777" w:rsidR="003704DB" w:rsidRPr="00251A7C" w:rsidRDefault="003704DB" w:rsidP="00EA2412">
            <w:pPr>
              <w:spacing w:after="0" w:line="240" w:lineRule="auto"/>
              <w:jc w:val="both"/>
              <w:rPr>
                <w:rFonts w:cstheme="minorHAnsi"/>
                <w:bCs/>
                <w:color w:val="000000"/>
                <w:sz w:val="18"/>
                <w:szCs w:val="18"/>
                <w:lang w:val="en-GB"/>
              </w:rPr>
            </w:pPr>
            <w:r w:rsidRPr="00251A7C">
              <w:rPr>
                <w:rFonts w:eastAsia="Times New Roman" w:cstheme="minorHAnsi"/>
                <w:b/>
                <w:sz w:val="18"/>
                <w:szCs w:val="18"/>
                <w:lang w:val="en-GB"/>
              </w:rPr>
              <w:t>9.1.1 Intravascular catheter infections – empiric antibiotic therapy</w:t>
            </w:r>
          </w:p>
        </w:tc>
      </w:tr>
      <w:tr w:rsidR="003704DB" w:rsidRPr="00251A7C" w14:paraId="7668E2BF" w14:textId="77777777" w:rsidTr="00EA2412">
        <w:tc>
          <w:tcPr>
            <w:tcW w:w="1648" w:type="pct"/>
          </w:tcPr>
          <w:p w14:paraId="18F560EF" w14:textId="77777777" w:rsidR="003704DB" w:rsidRPr="00251A7C" w:rsidRDefault="003704DB" w:rsidP="00EA2412">
            <w:pPr>
              <w:spacing w:after="0" w:line="240" w:lineRule="auto"/>
              <w:rPr>
                <w:rFonts w:eastAsia="Times New Roman" w:cstheme="minorHAnsi"/>
                <w:b/>
                <w:sz w:val="18"/>
                <w:szCs w:val="18"/>
                <w:lang w:val="en-GB"/>
              </w:rPr>
            </w:pPr>
            <w:r w:rsidRPr="00251A7C">
              <w:rPr>
                <w:rFonts w:eastAsia="Times New Roman" w:cstheme="minorHAnsi"/>
                <w:b/>
                <w:sz w:val="18"/>
                <w:szCs w:val="18"/>
                <w:lang w:val="en-GB"/>
              </w:rPr>
              <w:t xml:space="preserve">- </w:t>
            </w:r>
            <w:r w:rsidRPr="00251A7C">
              <w:rPr>
                <w:rFonts w:eastAsia="Times New Roman" w:cstheme="minorHAnsi"/>
                <w:bCs/>
                <w:i/>
                <w:iCs/>
                <w:sz w:val="18"/>
                <w:szCs w:val="18"/>
                <w:lang w:val="en-GB"/>
              </w:rPr>
              <w:t>S aureus</w:t>
            </w:r>
          </w:p>
        </w:tc>
        <w:tc>
          <w:tcPr>
            <w:tcW w:w="943" w:type="pct"/>
          </w:tcPr>
          <w:p w14:paraId="18947F6D" w14:textId="77777777" w:rsidR="003704DB" w:rsidRPr="00251A7C" w:rsidRDefault="003704DB"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Vancomycin, IV</w:t>
            </w:r>
          </w:p>
        </w:tc>
        <w:tc>
          <w:tcPr>
            <w:tcW w:w="2409" w:type="pct"/>
          </w:tcPr>
          <w:p w14:paraId="13E940D5" w14:textId="77777777" w:rsidR="003704DB" w:rsidRPr="00251A7C" w:rsidRDefault="003704DB"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Dosing amended</w:t>
            </w:r>
          </w:p>
        </w:tc>
      </w:tr>
      <w:tr w:rsidR="003704DB" w:rsidRPr="00251A7C" w14:paraId="03B4EF77" w14:textId="77777777" w:rsidTr="00EA2412">
        <w:tc>
          <w:tcPr>
            <w:tcW w:w="1648" w:type="pct"/>
            <w:vMerge w:val="restart"/>
          </w:tcPr>
          <w:p w14:paraId="30CFC282" w14:textId="77777777" w:rsidR="003704DB" w:rsidRPr="00251A7C" w:rsidRDefault="003704DB" w:rsidP="00EA2412">
            <w:pPr>
              <w:spacing w:after="0" w:line="240" w:lineRule="auto"/>
              <w:rPr>
                <w:rFonts w:eastAsia="Times New Roman" w:cstheme="minorHAnsi"/>
                <w:b/>
                <w:sz w:val="18"/>
                <w:szCs w:val="18"/>
                <w:lang w:val="en-GB"/>
              </w:rPr>
            </w:pPr>
            <w:r w:rsidRPr="00251A7C">
              <w:rPr>
                <w:rFonts w:eastAsia="Times New Roman" w:cstheme="minorHAnsi"/>
                <w:bCs/>
                <w:i/>
                <w:iCs/>
                <w:sz w:val="18"/>
                <w:szCs w:val="18"/>
                <w:lang w:val="en-GB"/>
              </w:rPr>
              <w:t>- Candidaemia – intolerant to amphotericin B (renal impairment)</w:t>
            </w:r>
          </w:p>
        </w:tc>
        <w:tc>
          <w:tcPr>
            <w:tcW w:w="943" w:type="pct"/>
          </w:tcPr>
          <w:p w14:paraId="2D65B84A" w14:textId="77777777" w:rsidR="003704DB" w:rsidRPr="00251A7C" w:rsidRDefault="003704DB"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Fluconazole, oral</w:t>
            </w:r>
          </w:p>
        </w:tc>
        <w:tc>
          <w:tcPr>
            <w:tcW w:w="2409" w:type="pct"/>
          </w:tcPr>
          <w:p w14:paraId="325BB82A" w14:textId="77777777" w:rsidR="003704DB" w:rsidRPr="00251A7C" w:rsidRDefault="003704DB"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Deleted</w:t>
            </w:r>
          </w:p>
        </w:tc>
      </w:tr>
      <w:tr w:rsidR="003704DB" w:rsidRPr="00251A7C" w14:paraId="4A32E1F3" w14:textId="77777777" w:rsidTr="00EA2412">
        <w:tc>
          <w:tcPr>
            <w:tcW w:w="1648" w:type="pct"/>
            <w:vMerge/>
          </w:tcPr>
          <w:p w14:paraId="4F53514A" w14:textId="77777777" w:rsidR="003704DB" w:rsidRPr="00251A7C" w:rsidRDefault="003704DB" w:rsidP="00EA2412">
            <w:pPr>
              <w:spacing w:after="0" w:line="240" w:lineRule="auto"/>
              <w:rPr>
                <w:rFonts w:eastAsia="Times New Roman" w:cstheme="minorHAnsi"/>
                <w:b/>
                <w:sz w:val="18"/>
                <w:szCs w:val="18"/>
                <w:lang w:val="en-GB"/>
              </w:rPr>
            </w:pPr>
          </w:p>
        </w:tc>
        <w:tc>
          <w:tcPr>
            <w:tcW w:w="943" w:type="pct"/>
          </w:tcPr>
          <w:p w14:paraId="4A627267" w14:textId="77777777" w:rsidR="003704DB" w:rsidRPr="00251A7C" w:rsidRDefault="003704DB"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Echinocandins</w:t>
            </w:r>
          </w:p>
        </w:tc>
        <w:tc>
          <w:tcPr>
            <w:tcW w:w="2409" w:type="pct"/>
          </w:tcPr>
          <w:p w14:paraId="3DCBB02F" w14:textId="77777777" w:rsidR="003704DB" w:rsidRPr="00251A7C" w:rsidRDefault="003704DB"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Retained as specialist motivation</w:t>
            </w:r>
          </w:p>
        </w:tc>
      </w:tr>
      <w:tr w:rsidR="003704DB" w:rsidRPr="00251A7C" w14:paraId="2B10AA18" w14:textId="77777777" w:rsidTr="00EA2412">
        <w:tc>
          <w:tcPr>
            <w:tcW w:w="1648" w:type="pct"/>
          </w:tcPr>
          <w:p w14:paraId="1D13102E" w14:textId="77777777" w:rsidR="003704DB" w:rsidRPr="00251A7C" w:rsidRDefault="003704DB" w:rsidP="00EA2412">
            <w:pPr>
              <w:spacing w:after="0" w:line="240" w:lineRule="auto"/>
              <w:rPr>
                <w:rFonts w:eastAsia="Times New Roman" w:cstheme="minorHAnsi"/>
                <w:b/>
                <w:sz w:val="18"/>
                <w:szCs w:val="18"/>
                <w:lang w:val="en-GB"/>
              </w:rPr>
            </w:pPr>
            <w:r w:rsidRPr="00251A7C">
              <w:rPr>
                <w:rFonts w:eastAsia="Times New Roman" w:cstheme="minorHAnsi"/>
                <w:b/>
                <w:sz w:val="18"/>
                <w:szCs w:val="18"/>
                <w:lang w:val="en-GB"/>
              </w:rPr>
              <w:t>9.1.2 Surgical wound infections</w:t>
            </w:r>
          </w:p>
        </w:tc>
        <w:tc>
          <w:tcPr>
            <w:tcW w:w="943" w:type="pct"/>
          </w:tcPr>
          <w:p w14:paraId="7F607392" w14:textId="77777777" w:rsidR="003704DB" w:rsidRPr="00251A7C" w:rsidRDefault="003704DB"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Vancomycin, IV</w:t>
            </w:r>
          </w:p>
        </w:tc>
        <w:tc>
          <w:tcPr>
            <w:tcW w:w="2409" w:type="pct"/>
          </w:tcPr>
          <w:p w14:paraId="323EB774" w14:textId="77777777" w:rsidR="003704DB" w:rsidRPr="00251A7C" w:rsidRDefault="003704DB"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Dosing amended</w:t>
            </w:r>
          </w:p>
        </w:tc>
      </w:tr>
      <w:tr w:rsidR="0044252C" w:rsidRPr="00251A7C" w14:paraId="7367FB25" w14:textId="77777777" w:rsidTr="00EA2412">
        <w:tc>
          <w:tcPr>
            <w:tcW w:w="1648" w:type="pct"/>
            <w:vMerge w:val="restart"/>
          </w:tcPr>
          <w:p w14:paraId="395A231A" w14:textId="77777777" w:rsidR="0044252C" w:rsidRPr="00251A7C" w:rsidRDefault="0044252C" w:rsidP="00EA2412">
            <w:pPr>
              <w:spacing w:after="0" w:line="240" w:lineRule="auto"/>
              <w:rPr>
                <w:rFonts w:eastAsia="Times New Roman" w:cstheme="minorHAnsi"/>
                <w:b/>
                <w:sz w:val="18"/>
                <w:szCs w:val="18"/>
                <w:lang w:val="en-GB"/>
              </w:rPr>
            </w:pPr>
            <w:r w:rsidRPr="00251A7C">
              <w:rPr>
                <w:rFonts w:eastAsia="Times New Roman" w:cstheme="minorHAnsi"/>
                <w:b/>
                <w:sz w:val="18"/>
                <w:szCs w:val="18"/>
                <w:lang w:val="en-GB"/>
              </w:rPr>
              <w:lastRenderedPageBreak/>
              <w:t>9.1.3 Hospital-acquired pneumonia (HAP) and ventilator-associated pneumonia (VAP)</w:t>
            </w:r>
          </w:p>
        </w:tc>
        <w:tc>
          <w:tcPr>
            <w:tcW w:w="943" w:type="pct"/>
          </w:tcPr>
          <w:p w14:paraId="520161C1" w14:textId="77777777" w:rsidR="0044252C" w:rsidRPr="00251A7C" w:rsidRDefault="0044252C"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Empiric antibiotic therapy</w:t>
            </w:r>
          </w:p>
        </w:tc>
        <w:tc>
          <w:tcPr>
            <w:tcW w:w="2409" w:type="pct"/>
          </w:tcPr>
          <w:p w14:paraId="1A1003A1" w14:textId="77777777" w:rsidR="0044252C" w:rsidRPr="00251A7C" w:rsidRDefault="0044252C"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Duration amended</w:t>
            </w:r>
          </w:p>
        </w:tc>
      </w:tr>
      <w:tr w:rsidR="0044252C" w:rsidRPr="00251A7C" w14:paraId="1E59EEB5" w14:textId="77777777" w:rsidTr="00EA2412">
        <w:tc>
          <w:tcPr>
            <w:tcW w:w="1648" w:type="pct"/>
            <w:vMerge/>
          </w:tcPr>
          <w:p w14:paraId="771ABB77" w14:textId="77777777" w:rsidR="0044252C" w:rsidRPr="00251A7C" w:rsidRDefault="0044252C" w:rsidP="00EA2412">
            <w:pPr>
              <w:spacing w:after="0" w:line="240" w:lineRule="auto"/>
              <w:rPr>
                <w:rFonts w:eastAsia="Times New Roman" w:cstheme="minorHAnsi"/>
                <w:b/>
                <w:sz w:val="18"/>
                <w:szCs w:val="18"/>
                <w:lang w:val="en-GB"/>
              </w:rPr>
            </w:pPr>
          </w:p>
        </w:tc>
        <w:tc>
          <w:tcPr>
            <w:tcW w:w="943" w:type="pct"/>
          </w:tcPr>
          <w:p w14:paraId="5796BC57" w14:textId="77777777" w:rsidR="0044252C" w:rsidRPr="00251A7C" w:rsidRDefault="0044252C"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Ceftriaxone, IV</w:t>
            </w:r>
          </w:p>
        </w:tc>
        <w:tc>
          <w:tcPr>
            <w:tcW w:w="2409" w:type="pct"/>
          </w:tcPr>
          <w:p w14:paraId="4CC4360A" w14:textId="77777777" w:rsidR="0044252C" w:rsidRPr="00251A7C" w:rsidRDefault="0044252C"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Deleted</w:t>
            </w:r>
          </w:p>
        </w:tc>
      </w:tr>
      <w:tr w:rsidR="0044252C" w:rsidRPr="00251A7C" w14:paraId="16769950" w14:textId="77777777" w:rsidTr="00EA2412">
        <w:tc>
          <w:tcPr>
            <w:tcW w:w="1648" w:type="pct"/>
            <w:vMerge/>
          </w:tcPr>
          <w:p w14:paraId="7B275DC2" w14:textId="77777777" w:rsidR="0044252C" w:rsidRPr="00251A7C" w:rsidRDefault="0044252C" w:rsidP="00EA2412">
            <w:pPr>
              <w:spacing w:after="0" w:line="240" w:lineRule="auto"/>
              <w:rPr>
                <w:rFonts w:eastAsia="Times New Roman" w:cstheme="minorHAnsi"/>
                <w:b/>
                <w:sz w:val="18"/>
                <w:szCs w:val="18"/>
                <w:lang w:val="en-GB"/>
              </w:rPr>
            </w:pPr>
          </w:p>
        </w:tc>
        <w:tc>
          <w:tcPr>
            <w:tcW w:w="943" w:type="pct"/>
          </w:tcPr>
          <w:p w14:paraId="3044CAAC" w14:textId="77777777" w:rsidR="0044252C" w:rsidRPr="00251A7C" w:rsidRDefault="0044252C"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Severe penicillin allergy</w:t>
            </w:r>
          </w:p>
        </w:tc>
        <w:tc>
          <w:tcPr>
            <w:tcW w:w="2409" w:type="pct"/>
          </w:tcPr>
          <w:p w14:paraId="5A1FF13D" w14:textId="77777777" w:rsidR="0044252C" w:rsidRPr="00251A7C" w:rsidRDefault="0044252C"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Guidance added</w:t>
            </w:r>
          </w:p>
        </w:tc>
      </w:tr>
      <w:tr w:rsidR="00503408" w:rsidRPr="00251A7C" w14:paraId="59F1036C" w14:textId="77777777" w:rsidTr="00EA2412">
        <w:tc>
          <w:tcPr>
            <w:tcW w:w="1648" w:type="pct"/>
            <w:vMerge/>
          </w:tcPr>
          <w:p w14:paraId="0062904E" w14:textId="77777777" w:rsidR="00503408" w:rsidRPr="00251A7C" w:rsidRDefault="00503408" w:rsidP="00EA2412">
            <w:pPr>
              <w:spacing w:after="0" w:line="240" w:lineRule="auto"/>
              <w:rPr>
                <w:rFonts w:eastAsia="Times New Roman" w:cstheme="minorHAnsi"/>
                <w:b/>
                <w:sz w:val="18"/>
                <w:szCs w:val="18"/>
                <w:lang w:val="en-GB"/>
              </w:rPr>
            </w:pPr>
          </w:p>
        </w:tc>
        <w:tc>
          <w:tcPr>
            <w:tcW w:w="943" w:type="pct"/>
          </w:tcPr>
          <w:p w14:paraId="6046C040" w14:textId="6EFB2FF3" w:rsidR="00503408" w:rsidRPr="00251A7C" w:rsidRDefault="00503408" w:rsidP="00503408">
            <w:pPr>
              <w:widowControl w:val="0"/>
              <w:autoSpaceDE w:val="0"/>
              <w:autoSpaceDN w:val="0"/>
              <w:adjustRightInd w:val="0"/>
              <w:spacing w:after="0" w:line="240" w:lineRule="auto"/>
              <w:jc w:val="both"/>
              <w:rPr>
                <w:rFonts w:cstheme="minorHAnsi"/>
                <w:bCs/>
                <w:color w:val="000000"/>
                <w:sz w:val="18"/>
                <w:szCs w:val="18"/>
                <w:lang w:val="en-GB"/>
              </w:rPr>
            </w:pPr>
            <w:r w:rsidRPr="00503408">
              <w:rPr>
                <w:rFonts w:cstheme="minorHAnsi"/>
                <w:bCs/>
                <w:color w:val="000000"/>
                <w:sz w:val="18"/>
                <w:szCs w:val="18"/>
                <w:lang w:val="en-GB"/>
              </w:rPr>
              <w:t>Antibiotic treatment protocol for HAP/VAP</w:t>
            </w:r>
          </w:p>
        </w:tc>
        <w:tc>
          <w:tcPr>
            <w:tcW w:w="2409" w:type="pct"/>
          </w:tcPr>
          <w:p w14:paraId="154A2EC5" w14:textId="07544894" w:rsidR="00503408" w:rsidRPr="00251A7C" w:rsidRDefault="00503408" w:rsidP="00EA2412">
            <w:pPr>
              <w:spacing w:after="0" w:line="240" w:lineRule="auto"/>
              <w:jc w:val="both"/>
              <w:rPr>
                <w:rFonts w:cstheme="minorHAnsi"/>
                <w:bCs/>
                <w:color w:val="000000"/>
                <w:sz w:val="18"/>
                <w:szCs w:val="18"/>
                <w:lang w:val="en-GB"/>
              </w:rPr>
            </w:pPr>
            <w:r>
              <w:rPr>
                <w:rFonts w:cstheme="minorHAnsi"/>
                <w:bCs/>
                <w:color w:val="000000"/>
                <w:sz w:val="18"/>
                <w:szCs w:val="18"/>
                <w:lang w:val="en-GB"/>
              </w:rPr>
              <w:t>Amended</w:t>
            </w:r>
          </w:p>
        </w:tc>
      </w:tr>
      <w:tr w:rsidR="0044252C" w:rsidRPr="00251A7C" w14:paraId="20ACE635" w14:textId="77777777" w:rsidTr="00EA2412">
        <w:tc>
          <w:tcPr>
            <w:tcW w:w="1648" w:type="pct"/>
            <w:vMerge/>
          </w:tcPr>
          <w:p w14:paraId="0CFF32CE" w14:textId="77777777" w:rsidR="0044252C" w:rsidRPr="00251A7C" w:rsidRDefault="0044252C" w:rsidP="00EA2412">
            <w:pPr>
              <w:spacing w:after="0" w:line="240" w:lineRule="auto"/>
              <w:rPr>
                <w:rFonts w:eastAsia="Times New Roman" w:cstheme="minorHAnsi"/>
                <w:b/>
                <w:sz w:val="18"/>
                <w:szCs w:val="18"/>
                <w:lang w:val="en-GB"/>
              </w:rPr>
            </w:pPr>
          </w:p>
        </w:tc>
        <w:tc>
          <w:tcPr>
            <w:tcW w:w="943" w:type="pct"/>
          </w:tcPr>
          <w:p w14:paraId="354CC42E" w14:textId="3DC6B441" w:rsidR="0044252C" w:rsidRPr="00251A7C" w:rsidRDefault="0044252C"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Carbapenems (imipenem/cilastin AND meropenem)</w:t>
            </w:r>
          </w:p>
        </w:tc>
        <w:tc>
          <w:tcPr>
            <w:tcW w:w="2409" w:type="pct"/>
          </w:tcPr>
          <w:p w14:paraId="5D0EED27" w14:textId="02D85C5C" w:rsidR="0044252C" w:rsidRPr="00251A7C" w:rsidRDefault="0044252C"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Note added (</w:t>
            </w:r>
            <w:r w:rsidR="00503408">
              <w:rPr>
                <w:rFonts w:cstheme="minorHAnsi"/>
                <w:bCs/>
                <w:color w:val="000000"/>
                <w:sz w:val="18"/>
                <w:szCs w:val="18"/>
                <w:lang w:val="en-GB"/>
              </w:rPr>
              <w:t>a</w:t>
            </w:r>
            <w:r w:rsidRPr="00251A7C">
              <w:rPr>
                <w:rFonts w:cstheme="minorHAnsi"/>
                <w:bCs/>
                <w:color w:val="000000"/>
                <w:sz w:val="18"/>
                <w:szCs w:val="18"/>
                <w:lang w:val="en-GB"/>
              </w:rPr>
              <w:t>void imipenem/cilastan in patients with CNS disorders or history of seizures – use meropenem)</w:t>
            </w:r>
          </w:p>
        </w:tc>
      </w:tr>
      <w:tr w:rsidR="003704DB" w:rsidRPr="00251A7C" w14:paraId="7B09793F" w14:textId="77777777" w:rsidTr="00EA2412">
        <w:tc>
          <w:tcPr>
            <w:tcW w:w="1648" w:type="pct"/>
          </w:tcPr>
          <w:p w14:paraId="5EE457F8" w14:textId="77777777" w:rsidR="003704DB" w:rsidRPr="00251A7C" w:rsidRDefault="003704DB" w:rsidP="00EA2412">
            <w:pPr>
              <w:spacing w:after="0" w:line="240" w:lineRule="auto"/>
              <w:rPr>
                <w:rFonts w:eastAsia="Times New Roman" w:cstheme="minorHAnsi"/>
                <w:b/>
                <w:sz w:val="18"/>
                <w:szCs w:val="18"/>
                <w:lang w:val="en-GB"/>
              </w:rPr>
            </w:pPr>
            <w:r w:rsidRPr="00251A7C">
              <w:rPr>
                <w:rFonts w:eastAsia="Times New Roman" w:cstheme="minorHAnsi"/>
                <w:b/>
                <w:sz w:val="18"/>
                <w:szCs w:val="18"/>
                <w:lang w:val="en-GB"/>
              </w:rPr>
              <w:t>9.2 Adult vaccination</w:t>
            </w:r>
          </w:p>
        </w:tc>
        <w:tc>
          <w:tcPr>
            <w:tcW w:w="943" w:type="pct"/>
          </w:tcPr>
          <w:p w14:paraId="790FB0FD" w14:textId="77777777" w:rsidR="003704DB" w:rsidRPr="00251A7C" w:rsidRDefault="003704DB"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COVID-19 vaccination</w:t>
            </w:r>
          </w:p>
        </w:tc>
        <w:tc>
          <w:tcPr>
            <w:tcW w:w="2409" w:type="pct"/>
          </w:tcPr>
          <w:p w14:paraId="6A05C954" w14:textId="77777777" w:rsidR="003704DB" w:rsidRPr="00251A7C" w:rsidRDefault="003704DB"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Guidance added</w:t>
            </w:r>
          </w:p>
        </w:tc>
      </w:tr>
      <w:tr w:rsidR="003704DB" w:rsidRPr="00251A7C" w14:paraId="5184A5CA" w14:textId="77777777" w:rsidTr="00EA2412">
        <w:tc>
          <w:tcPr>
            <w:tcW w:w="1648" w:type="pct"/>
            <w:vMerge w:val="restart"/>
          </w:tcPr>
          <w:p w14:paraId="357D6F02" w14:textId="77777777" w:rsidR="003704DB" w:rsidRPr="00251A7C" w:rsidRDefault="003704DB" w:rsidP="00EA2412">
            <w:pPr>
              <w:spacing w:after="0" w:line="240" w:lineRule="auto"/>
              <w:rPr>
                <w:rFonts w:cstheme="minorHAnsi"/>
                <w:b/>
                <w:color w:val="000000"/>
                <w:sz w:val="18"/>
                <w:szCs w:val="18"/>
                <w:lang w:val="en-GB"/>
              </w:rPr>
            </w:pPr>
            <w:r w:rsidRPr="00251A7C">
              <w:rPr>
                <w:rFonts w:eastAsia="Times New Roman" w:cstheme="minorHAnsi"/>
                <w:b/>
                <w:sz w:val="18"/>
                <w:szCs w:val="18"/>
                <w:lang w:val="en-GB"/>
              </w:rPr>
              <w:t>9.10</w:t>
            </w:r>
            <w:r w:rsidRPr="00251A7C">
              <w:rPr>
                <w:rFonts w:cstheme="minorHAnsi"/>
                <w:bCs/>
                <w:color w:val="000000"/>
                <w:sz w:val="18"/>
                <w:szCs w:val="18"/>
                <w:lang w:val="en-GB"/>
              </w:rPr>
              <w:t xml:space="preserve"> </w:t>
            </w:r>
            <w:r w:rsidRPr="00251A7C">
              <w:rPr>
                <w:rFonts w:cstheme="minorHAnsi"/>
                <w:b/>
                <w:color w:val="000000"/>
                <w:sz w:val="18"/>
                <w:szCs w:val="18"/>
                <w:lang w:val="en-GB"/>
              </w:rPr>
              <w:t>Tick bite fever</w:t>
            </w:r>
          </w:p>
          <w:p w14:paraId="281862CA" w14:textId="77777777" w:rsidR="003704DB" w:rsidRPr="00251A7C" w:rsidRDefault="003704DB" w:rsidP="00EA2412">
            <w:pPr>
              <w:spacing w:after="0" w:line="240" w:lineRule="auto"/>
              <w:rPr>
                <w:rFonts w:eastAsia="Times New Roman" w:cstheme="minorHAnsi"/>
                <w:bCs/>
                <w:i/>
                <w:iCs/>
                <w:sz w:val="18"/>
                <w:szCs w:val="18"/>
                <w:lang w:val="en-GB"/>
              </w:rPr>
            </w:pPr>
            <w:r w:rsidRPr="00251A7C">
              <w:rPr>
                <w:rFonts w:cstheme="minorHAnsi"/>
                <w:bCs/>
                <w:i/>
                <w:iCs/>
                <w:color w:val="000000"/>
                <w:sz w:val="18"/>
                <w:szCs w:val="18"/>
                <w:lang w:val="en-GB"/>
              </w:rPr>
              <w:t>- Pregnancy</w:t>
            </w:r>
          </w:p>
        </w:tc>
        <w:tc>
          <w:tcPr>
            <w:tcW w:w="943" w:type="pct"/>
          </w:tcPr>
          <w:p w14:paraId="4A92A8AA" w14:textId="77777777" w:rsidR="003704DB" w:rsidRPr="00251A7C" w:rsidRDefault="003704DB"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sz w:val="18"/>
                <w:szCs w:val="18"/>
                <w:lang w:val="en-GB"/>
              </w:rPr>
              <w:t>Doxycycline</w:t>
            </w:r>
          </w:p>
        </w:tc>
        <w:tc>
          <w:tcPr>
            <w:tcW w:w="2409" w:type="pct"/>
          </w:tcPr>
          <w:p w14:paraId="775D4DF5" w14:textId="77777777" w:rsidR="003704DB" w:rsidRPr="00251A7C" w:rsidRDefault="003704DB" w:rsidP="00EA2412">
            <w:pPr>
              <w:spacing w:after="0" w:line="240" w:lineRule="auto"/>
              <w:jc w:val="both"/>
              <w:rPr>
                <w:rFonts w:cstheme="minorHAnsi"/>
                <w:bCs/>
                <w:color w:val="000000"/>
                <w:sz w:val="18"/>
                <w:szCs w:val="18"/>
                <w:lang w:val="en-GB"/>
              </w:rPr>
            </w:pPr>
            <w:r w:rsidRPr="00251A7C">
              <w:rPr>
                <w:sz w:val="18"/>
                <w:szCs w:val="18"/>
                <w:lang w:val="en-GB"/>
              </w:rPr>
              <w:t>Added as initial therapy</w:t>
            </w:r>
          </w:p>
        </w:tc>
      </w:tr>
      <w:tr w:rsidR="003704DB" w:rsidRPr="00251A7C" w14:paraId="10588CC1" w14:textId="77777777" w:rsidTr="00EA2412">
        <w:tc>
          <w:tcPr>
            <w:tcW w:w="1648" w:type="pct"/>
            <w:vMerge/>
          </w:tcPr>
          <w:p w14:paraId="68D924E6" w14:textId="77777777" w:rsidR="003704DB" w:rsidRPr="00251A7C" w:rsidRDefault="003704DB" w:rsidP="00EA2412">
            <w:pPr>
              <w:spacing w:after="0" w:line="240" w:lineRule="auto"/>
              <w:rPr>
                <w:rFonts w:eastAsia="Times New Roman" w:cstheme="minorHAnsi"/>
                <w:b/>
                <w:sz w:val="18"/>
                <w:szCs w:val="18"/>
                <w:lang w:val="en-GB"/>
              </w:rPr>
            </w:pPr>
          </w:p>
        </w:tc>
        <w:tc>
          <w:tcPr>
            <w:tcW w:w="943" w:type="pct"/>
          </w:tcPr>
          <w:p w14:paraId="6D6988AF" w14:textId="77777777" w:rsidR="003704DB" w:rsidRPr="00251A7C" w:rsidRDefault="003704DB"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sz w:val="18"/>
                <w:szCs w:val="18"/>
                <w:lang w:val="en-GB"/>
              </w:rPr>
              <w:t xml:space="preserve">Azithromycin </w:t>
            </w:r>
          </w:p>
        </w:tc>
        <w:tc>
          <w:tcPr>
            <w:tcW w:w="2409" w:type="pct"/>
          </w:tcPr>
          <w:p w14:paraId="04AD8874" w14:textId="77777777" w:rsidR="003704DB" w:rsidRPr="00251A7C" w:rsidRDefault="003704DB" w:rsidP="00EA2412">
            <w:pPr>
              <w:spacing w:after="0" w:line="240" w:lineRule="auto"/>
              <w:jc w:val="both"/>
              <w:rPr>
                <w:rFonts w:cstheme="minorHAnsi"/>
                <w:bCs/>
                <w:color w:val="000000"/>
                <w:sz w:val="18"/>
                <w:szCs w:val="18"/>
                <w:lang w:val="en-GB"/>
              </w:rPr>
            </w:pPr>
            <w:r w:rsidRPr="00251A7C">
              <w:rPr>
                <w:sz w:val="18"/>
                <w:szCs w:val="18"/>
                <w:lang w:val="en-GB"/>
              </w:rPr>
              <w:t>Retained</w:t>
            </w:r>
          </w:p>
        </w:tc>
      </w:tr>
      <w:tr w:rsidR="003704DB" w:rsidRPr="00251A7C" w14:paraId="20C75F3B" w14:textId="77777777" w:rsidTr="00EA2412">
        <w:tc>
          <w:tcPr>
            <w:tcW w:w="1648" w:type="pct"/>
          </w:tcPr>
          <w:p w14:paraId="301C8DF3" w14:textId="77777777" w:rsidR="003704DB" w:rsidRPr="00251A7C" w:rsidRDefault="003704DB" w:rsidP="00EA2412">
            <w:pPr>
              <w:spacing w:after="0" w:line="240" w:lineRule="auto"/>
              <w:rPr>
                <w:rFonts w:eastAsia="Times New Roman" w:cstheme="minorHAnsi"/>
                <w:b/>
                <w:sz w:val="18"/>
                <w:szCs w:val="18"/>
                <w:lang w:val="en-GB"/>
              </w:rPr>
            </w:pPr>
            <w:r w:rsidRPr="00251A7C">
              <w:rPr>
                <w:rFonts w:eastAsia="Times New Roman" w:cstheme="minorHAnsi"/>
                <w:b/>
                <w:sz w:val="18"/>
                <w:szCs w:val="18"/>
                <w:lang w:val="en-GB"/>
              </w:rPr>
              <w:t>9.12 Varicella (chickenpox), complicated</w:t>
            </w:r>
          </w:p>
        </w:tc>
        <w:tc>
          <w:tcPr>
            <w:tcW w:w="943" w:type="pct"/>
          </w:tcPr>
          <w:p w14:paraId="527E61D7" w14:textId="77777777" w:rsidR="003704DB" w:rsidRPr="00251A7C" w:rsidRDefault="003704DB" w:rsidP="00EA2412">
            <w:pPr>
              <w:widowControl w:val="0"/>
              <w:autoSpaceDE w:val="0"/>
              <w:autoSpaceDN w:val="0"/>
              <w:adjustRightInd w:val="0"/>
              <w:spacing w:after="0" w:line="240" w:lineRule="auto"/>
              <w:jc w:val="both"/>
              <w:rPr>
                <w:rFonts w:cstheme="minorHAnsi"/>
                <w:bCs/>
                <w:color w:val="000000"/>
                <w:sz w:val="18"/>
                <w:szCs w:val="18"/>
                <w:lang w:val="en-GB"/>
              </w:rPr>
            </w:pPr>
            <w:r w:rsidRPr="00251A7C">
              <w:rPr>
                <w:rFonts w:cstheme="minorHAnsi"/>
                <w:bCs/>
                <w:color w:val="000000"/>
                <w:sz w:val="18"/>
                <w:szCs w:val="18"/>
                <w:lang w:val="en-GB"/>
              </w:rPr>
              <w:t>Varicella-zoster immunoglobulin (VZIG), IM</w:t>
            </w:r>
          </w:p>
        </w:tc>
        <w:tc>
          <w:tcPr>
            <w:tcW w:w="2409" w:type="pct"/>
          </w:tcPr>
          <w:p w14:paraId="557C68A5" w14:textId="77777777" w:rsidR="003704DB" w:rsidRPr="00251A7C" w:rsidRDefault="003704DB" w:rsidP="00EA2412">
            <w:pPr>
              <w:spacing w:after="0" w:line="240" w:lineRule="auto"/>
              <w:jc w:val="both"/>
              <w:rPr>
                <w:rFonts w:cstheme="minorHAnsi"/>
                <w:bCs/>
                <w:color w:val="000000"/>
                <w:sz w:val="18"/>
                <w:szCs w:val="18"/>
                <w:lang w:val="en-GB"/>
              </w:rPr>
            </w:pPr>
            <w:r w:rsidRPr="00251A7C">
              <w:rPr>
                <w:rFonts w:cstheme="minorHAnsi"/>
                <w:bCs/>
                <w:color w:val="000000"/>
                <w:sz w:val="18"/>
                <w:szCs w:val="18"/>
                <w:lang w:val="en-GB"/>
              </w:rPr>
              <w:t>Indication amended</w:t>
            </w:r>
          </w:p>
        </w:tc>
      </w:tr>
    </w:tbl>
    <w:p w14:paraId="360CCB73" w14:textId="77777777" w:rsidR="003704DB" w:rsidRPr="00251A7C" w:rsidRDefault="003704DB" w:rsidP="00E338E1">
      <w:pPr>
        <w:autoSpaceDE w:val="0"/>
        <w:autoSpaceDN w:val="0"/>
        <w:adjustRightInd w:val="0"/>
        <w:spacing w:after="0" w:line="240" w:lineRule="auto"/>
        <w:jc w:val="both"/>
        <w:rPr>
          <w:sz w:val="20"/>
          <w:szCs w:val="12"/>
          <w:lang w:val="en-GB"/>
        </w:rPr>
      </w:pPr>
    </w:p>
    <w:p w14:paraId="20826A4F" w14:textId="77777777" w:rsidR="00375A5A" w:rsidRPr="00251A7C" w:rsidRDefault="00375A5A" w:rsidP="00E338E1">
      <w:pPr>
        <w:autoSpaceDE w:val="0"/>
        <w:autoSpaceDN w:val="0"/>
        <w:adjustRightInd w:val="0"/>
        <w:spacing w:after="0" w:line="240" w:lineRule="auto"/>
        <w:jc w:val="both"/>
        <w:rPr>
          <w:sz w:val="20"/>
          <w:szCs w:val="12"/>
          <w:lang w:val="en-GB"/>
        </w:rPr>
      </w:pPr>
    </w:p>
    <w:tbl>
      <w:tblPr>
        <w:tblW w:w="5000" w:type="pct"/>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firstRow="1" w:lastRow="0" w:firstColumn="1" w:lastColumn="0" w:noHBand="0" w:noVBand="0"/>
      </w:tblPr>
      <w:tblGrid>
        <w:gridCol w:w="10436"/>
      </w:tblGrid>
      <w:tr w:rsidR="00441C9F" w:rsidRPr="00251A7C" w14:paraId="4C00DAD3" w14:textId="77777777" w:rsidTr="00B968C5">
        <w:tc>
          <w:tcPr>
            <w:tcW w:w="5000" w:type="pct"/>
            <w:tcBorders>
              <w:top w:val="double" w:sz="4" w:space="0" w:color="C0C0C0"/>
              <w:left w:val="double" w:sz="4" w:space="0" w:color="C0C0C0"/>
              <w:bottom w:val="double" w:sz="4" w:space="0" w:color="C0C0C0"/>
              <w:right w:val="double" w:sz="4" w:space="0" w:color="C0C0C0"/>
            </w:tcBorders>
          </w:tcPr>
          <w:p w14:paraId="548D4E47" w14:textId="5AF96308" w:rsidR="00441C9F" w:rsidRPr="00251A7C" w:rsidRDefault="00667B6D" w:rsidP="00B968C5">
            <w:pPr>
              <w:widowControl w:val="0"/>
              <w:autoSpaceDE w:val="0"/>
              <w:autoSpaceDN w:val="0"/>
              <w:adjustRightInd w:val="0"/>
              <w:spacing w:before="120" w:after="120" w:line="240" w:lineRule="auto"/>
              <w:rPr>
                <w:rFonts w:cs="Calibri"/>
                <w:b/>
                <w:lang w:val="en-GB"/>
              </w:rPr>
            </w:pPr>
            <w:r w:rsidRPr="00251A7C">
              <w:rPr>
                <w:rFonts w:cs="Calibri"/>
                <w:b/>
                <w:spacing w:val="-4"/>
                <w:szCs w:val="20"/>
                <w:lang w:val="en-GB"/>
              </w:rPr>
              <w:t>9.1.1 INTRAVASCULAR CATHETER INFECTIONS</w:t>
            </w:r>
          </w:p>
        </w:tc>
      </w:tr>
    </w:tbl>
    <w:p w14:paraId="0086EDA5" w14:textId="77777777" w:rsidR="00B13118" w:rsidRPr="00251A7C" w:rsidRDefault="00B13118" w:rsidP="00E338E1">
      <w:pPr>
        <w:autoSpaceDE w:val="0"/>
        <w:autoSpaceDN w:val="0"/>
        <w:adjustRightInd w:val="0"/>
        <w:spacing w:after="0" w:line="240" w:lineRule="auto"/>
        <w:jc w:val="both"/>
        <w:rPr>
          <w:b/>
          <w:szCs w:val="14"/>
          <w:lang w:val="en-GB"/>
        </w:rPr>
      </w:pPr>
    </w:p>
    <w:p w14:paraId="38B632AC" w14:textId="18AEAF47" w:rsidR="00B13118" w:rsidRPr="00251A7C" w:rsidRDefault="00667B6D" w:rsidP="00E338E1">
      <w:pPr>
        <w:autoSpaceDE w:val="0"/>
        <w:autoSpaceDN w:val="0"/>
        <w:adjustRightInd w:val="0"/>
        <w:spacing w:after="0" w:line="240" w:lineRule="auto"/>
        <w:jc w:val="both"/>
        <w:rPr>
          <w:bCs/>
          <w:szCs w:val="14"/>
          <w:lang w:val="en-GB"/>
        </w:rPr>
      </w:pPr>
      <w:r w:rsidRPr="00251A7C">
        <w:rPr>
          <w:bCs/>
          <w:szCs w:val="14"/>
          <w:lang w:val="en-GB"/>
        </w:rPr>
        <w:t>Guidance for peripheral and central catheter infections was separated out for clarity purposes</w:t>
      </w:r>
      <w:r w:rsidR="00B13118" w:rsidRPr="00251A7C">
        <w:rPr>
          <w:bCs/>
          <w:szCs w:val="14"/>
          <w:lang w:val="en-GB"/>
        </w:rPr>
        <w:t>.</w:t>
      </w:r>
    </w:p>
    <w:p w14:paraId="1561CA84" w14:textId="62795E5A" w:rsidR="001F7BB8" w:rsidRPr="00251A7C" w:rsidRDefault="00B13118" w:rsidP="00E338E1">
      <w:pPr>
        <w:autoSpaceDE w:val="0"/>
        <w:autoSpaceDN w:val="0"/>
        <w:adjustRightInd w:val="0"/>
        <w:spacing w:after="0" w:line="240" w:lineRule="auto"/>
        <w:jc w:val="both"/>
        <w:rPr>
          <w:bCs/>
          <w:szCs w:val="14"/>
          <w:lang w:val="en-GB"/>
        </w:rPr>
      </w:pPr>
      <w:r w:rsidRPr="00251A7C">
        <w:rPr>
          <w:bCs/>
          <w:szCs w:val="14"/>
          <w:lang w:val="en-GB"/>
        </w:rPr>
        <w:t xml:space="preserve">For peripheral blood line infections, </w:t>
      </w:r>
      <w:r w:rsidR="00667B6D" w:rsidRPr="00251A7C">
        <w:rPr>
          <w:bCs/>
          <w:szCs w:val="14"/>
          <w:lang w:val="en-GB"/>
        </w:rPr>
        <w:t>microbiological specimens are not usually indicated unless patient systemically unwell for peripheral blood line infections</w:t>
      </w:r>
      <w:r w:rsidRPr="00251A7C">
        <w:rPr>
          <w:bCs/>
          <w:szCs w:val="14"/>
          <w:lang w:val="en-GB"/>
        </w:rPr>
        <w:t>, and the following additional STG text was added:</w:t>
      </w:r>
    </w:p>
    <w:tbl>
      <w:tblPr>
        <w:tblStyle w:val="TableGrid"/>
        <w:tblW w:w="0" w:type="auto"/>
        <w:tblLook w:val="04A0" w:firstRow="1" w:lastRow="0" w:firstColumn="1" w:lastColumn="0" w:noHBand="0" w:noVBand="1"/>
      </w:tblPr>
      <w:tblGrid>
        <w:gridCol w:w="10456"/>
      </w:tblGrid>
      <w:tr w:rsidR="00B13118" w:rsidRPr="00251A7C" w14:paraId="28948338" w14:textId="77777777" w:rsidTr="00B13118">
        <w:tc>
          <w:tcPr>
            <w:tcW w:w="10456" w:type="dxa"/>
          </w:tcPr>
          <w:p w14:paraId="681AA922" w14:textId="77777777" w:rsidR="00B13118" w:rsidRPr="00251A7C" w:rsidRDefault="00B13118">
            <w:pPr>
              <w:pStyle w:val="ListParagraph"/>
              <w:numPr>
                <w:ilvl w:val="0"/>
                <w:numId w:val="3"/>
              </w:numPr>
              <w:rPr>
                <w:rFonts w:asciiTheme="minorHAnsi" w:hAnsiTheme="minorHAnsi" w:cstheme="minorHAnsi"/>
                <w:bCs/>
                <w:iCs/>
                <w:sz w:val="18"/>
                <w:szCs w:val="18"/>
                <w:u w:val="single"/>
                <w:lang w:eastAsia="en-ZA"/>
              </w:rPr>
            </w:pPr>
            <w:r w:rsidRPr="00251A7C">
              <w:rPr>
                <w:rFonts w:asciiTheme="minorHAnsi" w:hAnsiTheme="minorHAnsi" w:cstheme="minorHAnsi"/>
                <w:bCs/>
                <w:sz w:val="18"/>
                <w:szCs w:val="18"/>
                <w:u w:val="single"/>
                <w:lang w:eastAsia="en-ZA"/>
              </w:rPr>
              <w:t xml:space="preserve">If peripheral blood culture negative but central catheter culture positive, monitor closely for signs of infection, and repeat peripheral blood cultures accordingly. If central line has grown </w:t>
            </w:r>
            <w:r w:rsidRPr="00251A7C">
              <w:rPr>
                <w:rFonts w:asciiTheme="minorHAnsi" w:hAnsiTheme="minorHAnsi" w:cstheme="minorHAnsi"/>
                <w:bCs/>
                <w:i/>
                <w:sz w:val="18"/>
                <w:szCs w:val="18"/>
                <w:u w:val="single"/>
                <w:lang w:eastAsia="en-ZA"/>
              </w:rPr>
              <w:t>S. aureus</w:t>
            </w:r>
            <w:r w:rsidRPr="00251A7C">
              <w:rPr>
                <w:rFonts w:asciiTheme="minorHAnsi" w:hAnsiTheme="minorHAnsi" w:cstheme="minorHAnsi"/>
                <w:bCs/>
                <w:iCs/>
                <w:sz w:val="18"/>
                <w:szCs w:val="18"/>
                <w:u w:val="single"/>
                <w:lang w:eastAsia="en-ZA"/>
              </w:rPr>
              <w:t xml:space="preserve">, 5-7 days of treatment is recommended (assuming peripheral blood cultures remain negative). </w:t>
            </w:r>
          </w:p>
          <w:p w14:paraId="3CB28B3D" w14:textId="65138D7E" w:rsidR="00B13118" w:rsidRPr="00251A7C" w:rsidRDefault="00B13118">
            <w:pPr>
              <w:pStyle w:val="ListParagraph"/>
              <w:numPr>
                <w:ilvl w:val="0"/>
                <w:numId w:val="3"/>
              </w:numPr>
              <w:rPr>
                <w:bCs/>
                <w:iCs/>
                <w:sz w:val="20"/>
                <w:szCs w:val="20"/>
                <w:lang w:eastAsia="en-ZA"/>
              </w:rPr>
            </w:pPr>
            <w:r w:rsidRPr="00251A7C">
              <w:rPr>
                <w:rFonts w:asciiTheme="minorHAnsi" w:hAnsiTheme="minorHAnsi" w:cstheme="minorHAnsi"/>
                <w:bCs/>
                <w:iCs/>
                <w:sz w:val="18"/>
                <w:szCs w:val="18"/>
                <w:u w:val="single"/>
                <w:lang w:eastAsia="en-ZA"/>
              </w:rPr>
              <w:t>If peripheral blood culture is positive, remove catheter, and treat with systemic antibiotics, guided by the culture results.</w:t>
            </w:r>
          </w:p>
        </w:tc>
      </w:tr>
    </w:tbl>
    <w:p w14:paraId="5879FEFF" w14:textId="45D3E13D" w:rsidR="00B13118" w:rsidRPr="00251A7C" w:rsidRDefault="00B13118" w:rsidP="00E338E1">
      <w:pPr>
        <w:autoSpaceDE w:val="0"/>
        <w:autoSpaceDN w:val="0"/>
        <w:adjustRightInd w:val="0"/>
        <w:spacing w:after="0" w:line="240" w:lineRule="auto"/>
        <w:jc w:val="both"/>
        <w:rPr>
          <w:b/>
          <w:sz w:val="20"/>
          <w:szCs w:val="12"/>
          <w:lang w:val="en-GB"/>
        </w:rPr>
      </w:pPr>
    </w:p>
    <w:p w14:paraId="6170E5F7" w14:textId="0D8674D0" w:rsidR="00CE1B7C" w:rsidRPr="00251A7C" w:rsidRDefault="00DF0561" w:rsidP="00E338E1">
      <w:pPr>
        <w:autoSpaceDE w:val="0"/>
        <w:autoSpaceDN w:val="0"/>
        <w:adjustRightInd w:val="0"/>
        <w:spacing w:after="0" w:line="240" w:lineRule="auto"/>
        <w:jc w:val="both"/>
        <w:rPr>
          <w:b/>
          <w:u w:val="single"/>
          <w:lang w:val="en-GB"/>
        </w:rPr>
      </w:pPr>
      <w:r w:rsidRPr="00251A7C">
        <w:rPr>
          <w:b/>
          <w:u w:val="single"/>
          <w:lang w:val="en-GB"/>
        </w:rPr>
        <w:t>Empiric antibiotic therapy</w:t>
      </w:r>
      <w:r w:rsidR="00A05AF1" w:rsidRPr="00251A7C">
        <w:rPr>
          <w:b/>
          <w:u w:val="single"/>
          <w:lang w:val="en-GB"/>
        </w:rPr>
        <w:t xml:space="preserve"> </w:t>
      </w:r>
    </w:p>
    <w:p w14:paraId="6C74B4A1" w14:textId="7681824E" w:rsidR="00DF0561" w:rsidRPr="00251A7C" w:rsidRDefault="00A05AF1">
      <w:pPr>
        <w:pStyle w:val="ListParagraph"/>
        <w:numPr>
          <w:ilvl w:val="0"/>
          <w:numId w:val="6"/>
        </w:numPr>
        <w:autoSpaceDE w:val="0"/>
        <w:autoSpaceDN w:val="0"/>
        <w:adjustRightInd w:val="0"/>
        <w:jc w:val="both"/>
        <w:rPr>
          <w:rFonts w:asciiTheme="minorHAnsi" w:hAnsiTheme="minorHAnsi" w:cstheme="minorHAnsi"/>
          <w:b/>
          <w:sz w:val="22"/>
          <w:szCs w:val="22"/>
        </w:rPr>
      </w:pPr>
      <w:r w:rsidRPr="00251A7C">
        <w:rPr>
          <w:rFonts w:asciiTheme="minorHAnsi" w:hAnsiTheme="minorHAnsi" w:cstheme="minorHAnsi"/>
          <w:b/>
          <w:i/>
          <w:sz w:val="22"/>
          <w:szCs w:val="22"/>
        </w:rPr>
        <w:t>S. aureus</w:t>
      </w:r>
      <w:r w:rsidRPr="00251A7C">
        <w:rPr>
          <w:rFonts w:asciiTheme="minorHAnsi" w:hAnsiTheme="minorHAnsi" w:cstheme="minorHAnsi"/>
          <w:b/>
          <w:sz w:val="22"/>
          <w:szCs w:val="22"/>
        </w:rPr>
        <w:t xml:space="preserve"> infection</w:t>
      </w:r>
    </w:p>
    <w:p w14:paraId="0A24AFA9" w14:textId="657810C1" w:rsidR="00B13118" w:rsidRPr="00251A7C" w:rsidRDefault="0010092B" w:rsidP="00E338E1">
      <w:pPr>
        <w:autoSpaceDE w:val="0"/>
        <w:autoSpaceDN w:val="0"/>
        <w:adjustRightInd w:val="0"/>
        <w:spacing w:after="0" w:line="240" w:lineRule="auto"/>
        <w:jc w:val="both"/>
        <w:rPr>
          <w:bCs/>
          <w:lang w:val="en-GB"/>
        </w:rPr>
      </w:pPr>
      <w:r w:rsidRPr="00251A7C">
        <w:rPr>
          <w:bCs/>
          <w:u w:val="single"/>
          <w:lang w:val="en-GB"/>
        </w:rPr>
        <w:t xml:space="preserve">Vancomycin, </w:t>
      </w:r>
      <w:r w:rsidR="00DF0561" w:rsidRPr="00251A7C">
        <w:rPr>
          <w:bCs/>
          <w:u w:val="single"/>
          <w:lang w:val="en-GB"/>
        </w:rPr>
        <w:t>IV:</w:t>
      </w:r>
      <w:r w:rsidR="00DF0561" w:rsidRPr="00251A7C">
        <w:rPr>
          <w:bCs/>
          <w:lang w:val="en-GB"/>
        </w:rPr>
        <w:t xml:space="preserve"> </w:t>
      </w:r>
      <w:r w:rsidR="00DF0561" w:rsidRPr="00251A7C">
        <w:rPr>
          <w:bCs/>
          <w:i/>
          <w:iCs/>
          <w:lang w:val="en-GB"/>
        </w:rPr>
        <w:t>dosing amended</w:t>
      </w:r>
    </w:p>
    <w:p w14:paraId="4F67FB66" w14:textId="77777777" w:rsidR="00DF0561" w:rsidRPr="00251A7C" w:rsidRDefault="00DF0561" w:rsidP="00DF0561">
      <w:pPr>
        <w:spacing w:after="0" w:line="240" w:lineRule="auto"/>
        <w:jc w:val="both"/>
        <w:rPr>
          <w:lang w:val="en-GB"/>
        </w:rPr>
      </w:pPr>
      <w:r w:rsidRPr="00251A7C">
        <w:rPr>
          <w:iCs/>
          <w:lang w:val="en-GB"/>
        </w:rPr>
        <w:t>A</w:t>
      </w:r>
      <w:r w:rsidRPr="00251A7C">
        <w:rPr>
          <w:lang w:val="en-GB"/>
        </w:rPr>
        <w:t>mended as follows to align with the SAMF, 2022 edition:</w:t>
      </w:r>
    </w:p>
    <w:tbl>
      <w:tblPr>
        <w:tblStyle w:val="TableGrid"/>
        <w:tblW w:w="0" w:type="auto"/>
        <w:tblLook w:val="04A0" w:firstRow="1" w:lastRow="0" w:firstColumn="1" w:lastColumn="0" w:noHBand="0" w:noVBand="1"/>
      </w:tblPr>
      <w:tblGrid>
        <w:gridCol w:w="10456"/>
      </w:tblGrid>
      <w:tr w:rsidR="008F728F" w:rsidRPr="00251A7C" w14:paraId="4CE27C56" w14:textId="77777777" w:rsidTr="00DF0561">
        <w:tc>
          <w:tcPr>
            <w:tcW w:w="10456" w:type="dxa"/>
          </w:tcPr>
          <w:p w14:paraId="58DA834A" w14:textId="77777777" w:rsidR="00DF0561" w:rsidRPr="00251A7C" w:rsidRDefault="00DF0561">
            <w:pPr>
              <w:pStyle w:val="Medicinebullet1"/>
              <w:numPr>
                <w:ilvl w:val="0"/>
                <w:numId w:val="4"/>
              </w:numPr>
              <w:ind w:left="284" w:hanging="284"/>
              <w:rPr>
                <w:rFonts w:asciiTheme="minorHAnsi" w:hAnsiTheme="minorHAnsi" w:cstheme="minorHAnsi"/>
                <w:lang w:val="en-GB"/>
              </w:rPr>
            </w:pPr>
            <w:r w:rsidRPr="00251A7C">
              <w:rPr>
                <w:rFonts w:asciiTheme="minorHAnsi" w:hAnsiTheme="minorHAnsi" w:cstheme="minorHAnsi"/>
                <w:lang w:val="en-GB"/>
              </w:rPr>
              <w:t xml:space="preserve">Vancomycin, IV, </w:t>
            </w:r>
            <w:r w:rsidRPr="00251A7C">
              <w:rPr>
                <w:rFonts w:asciiTheme="minorHAnsi" w:hAnsiTheme="minorHAnsi" w:cstheme="minorHAnsi"/>
                <w:u w:val="single"/>
                <w:lang w:val="en-GB"/>
              </w:rPr>
              <w:t>25–</w:t>
            </w:r>
            <w:r w:rsidRPr="00251A7C">
              <w:rPr>
                <w:rFonts w:asciiTheme="minorHAnsi" w:hAnsiTheme="minorHAnsi" w:cstheme="minorHAnsi"/>
                <w:lang w:val="en-GB"/>
              </w:rPr>
              <w:t xml:space="preserve">30 mg/kg, empirically as a loading dose. </w:t>
            </w:r>
          </w:p>
          <w:p w14:paraId="2CA18E72" w14:textId="77D52619" w:rsidR="00DF0561" w:rsidRPr="00251A7C" w:rsidRDefault="00DF0561">
            <w:pPr>
              <w:pStyle w:val="Medicinebullet1"/>
              <w:widowControl w:val="0"/>
              <w:numPr>
                <w:ilvl w:val="0"/>
                <w:numId w:val="5"/>
              </w:numPr>
              <w:ind w:left="567" w:hanging="283"/>
              <w:rPr>
                <w:rFonts w:asciiTheme="minorHAnsi" w:hAnsiTheme="minorHAnsi" w:cstheme="minorHAnsi"/>
                <w:sz w:val="20"/>
                <w:szCs w:val="20"/>
                <w:lang w:val="en-GB"/>
              </w:rPr>
            </w:pPr>
            <w:r w:rsidRPr="00251A7C">
              <w:rPr>
                <w:rFonts w:asciiTheme="minorHAnsi" w:hAnsiTheme="minorHAnsi" w:cstheme="minorHAnsi"/>
                <w:lang w:val="en-GB"/>
              </w:rPr>
              <w:t xml:space="preserve">Follow with </w:t>
            </w:r>
            <w:r w:rsidRPr="00251A7C">
              <w:rPr>
                <w:rFonts w:asciiTheme="minorHAnsi" w:hAnsiTheme="minorHAnsi" w:cstheme="minorHAnsi"/>
                <w:u w:val="single"/>
                <w:lang w:val="en-GB"/>
              </w:rPr>
              <w:t>15</w:t>
            </w:r>
            <w:r w:rsidRPr="00251A7C">
              <w:rPr>
                <w:rFonts w:asciiTheme="minorHAnsi" w:hAnsiTheme="minorHAnsi" w:cstheme="minorHAnsi"/>
                <w:u w:val="single"/>
                <w:lang w:val="en-GB"/>
              </w:rPr>
              <w:softHyphen/>
              <w:t>–</w:t>
            </w:r>
            <w:r w:rsidRPr="00251A7C">
              <w:rPr>
                <w:rFonts w:asciiTheme="minorHAnsi" w:hAnsiTheme="minorHAnsi" w:cstheme="minorHAnsi"/>
                <w:lang w:val="en-GB"/>
              </w:rPr>
              <w:t>20 mg/kg/dose 12 hourly. (See Appendix II for guidance on prescribing and therapeutic drug monitoring).</w:t>
            </w:r>
          </w:p>
        </w:tc>
      </w:tr>
    </w:tbl>
    <w:p w14:paraId="06C08938" w14:textId="25622DFD" w:rsidR="00DF0561" w:rsidRPr="00251A7C" w:rsidRDefault="00DF0561" w:rsidP="00DF0561">
      <w:pPr>
        <w:spacing w:after="0" w:line="240" w:lineRule="auto"/>
        <w:jc w:val="both"/>
        <w:rPr>
          <w:b/>
          <w:bCs/>
          <w:lang w:val="en-GB"/>
        </w:rPr>
      </w:pPr>
      <w:r w:rsidRPr="00251A7C">
        <w:rPr>
          <w:b/>
          <w:bCs/>
          <w:lang w:val="en-GB"/>
        </w:rPr>
        <w:t xml:space="preserve">Level of Evidence: </w:t>
      </w:r>
      <w:r w:rsidR="00C011B2" w:rsidRPr="00251A7C">
        <w:rPr>
          <w:b/>
          <w:bCs/>
          <w:lang w:val="en-GB"/>
        </w:rPr>
        <w:t>Very low certainty evidence, conditional recommendation</w:t>
      </w:r>
    </w:p>
    <w:p w14:paraId="70B9A574" w14:textId="77777777" w:rsidR="00DF0561" w:rsidRPr="00251A7C" w:rsidRDefault="00DF0561" w:rsidP="00DF0561">
      <w:pPr>
        <w:spacing w:after="0" w:line="240" w:lineRule="auto"/>
        <w:jc w:val="both"/>
        <w:rPr>
          <w:b/>
          <w:bCs/>
          <w:lang w:val="en-GB"/>
        </w:rPr>
      </w:pPr>
    </w:p>
    <w:p w14:paraId="2937507E" w14:textId="3F268824" w:rsidR="00DF0561" w:rsidRPr="00251A7C" w:rsidRDefault="00DF0561" w:rsidP="00DF0561">
      <w:pPr>
        <w:spacing w:after="0" w:line="240" w:lineRule="auto"/>
        <w:jc w:val="both"/>
        <w:rPr>
          <w:lang w:val="en-GB"/>
        </w:rPr>
      </w:pPr>
      <w:r w:rsidRPr="00251A7C">
        <w:rPr>
          <w:lang w:val="en-GB"/>
        </w:rPr>
        <w:t>Dosing of vancomycin in Appendix II: Prescribing information for specific medicines will likewise be updated.</w:t>
      </w:r>
    </w:p>
    <w:p w14:paraId="4A27B965" w14:textId="6326D0C2" w:rsidR="00DF0561" w:rsidRPr="00251A7C" w:rsidRDefault="00DF0561" w:rsidP="00E338E1">
      <w:pPr>
        <w:autoSpaceDE w:val="0"/>
        <w:autoSpaceDN w:val="0"/>
        <w:adjustRightInd w:val="0"/>
        <w:spacing w:after="0" w:line="240" w:lineRule="auto"/>
        <w:jc w:val="both"/>
        <w:rPr>
          <w:b/>
          <w:sz w:val="20"/>
          <w:szCs w:val="12"/>
          <w:lang w:val="en-GB"/>
        </w:rPr>
      </w:pPr>
    </w:p>
    <w:p w14:paraId="5608806B" w14:textId="3DA28823" w:rsidR="00A05AF1" w:rsidRPr="00251A7C" w:rsidRDefault="00A05AF1">
      <w:pPr>
        <w:pStyle w:val="ListParagraph"/>
        <w:numPr>
          <w:ilvl w:val="0"/>
          <w:numId w:val="6"/>
        </w:numPr>
        <w:autoSpaceDE w:val="0"/>
        <w:autoSpaceDN w:val="0"/>
        <w:adjustRightInd w:val="0"/>
        <w:jc w:val="both"/>
        <w:rPr>
          <w:rFonts w:asciiTheme="minorHAnsi" w:hAnsiTheme="minorHAnsi" w:cstheme="minorHAnsi"/>
          <w:b/>
          <w:sz w:val="22"/>
          <w:szCs w:val="22"/>
        </w:rPr>
      </w:pPr>
      <w:r w:rsidRPr="00251A7C">
        <w:rPr>
          <w:rFonts w:asciiTheme="minorHAnsi" w:hAnsiTheme="minorHAnsi" w:cstheme="minorHAnsi"/>
          <w:b/>
          <w:sz w:val="22"/>
          <w:szCs w:val="22"/>
        </w:rPr>
        <w:t>Candidaemia – intolerant to amphotericin B (renal impairment)</w:t>
      </w:r>
    </w:p>
    <w:p w14:paraId="4BD97029" w14:textId="4E985383" w:rsidR="00A05AF1" w:rsidRPr="00251A7C" w:rsidRDefault="00A05AF1" w:rsidP="00E338E1">
      <w:pPr>
        <w:autoSpaceDE w:val="0"/>
        <w:autoSpaceDN w:val="0"/>
        <w:adjustRightInd w:val="0"/>
        <w:spacing w:after="0" w:line="240" w:lineRule="auto"/>
        <w:jc w:val="both"/>
        <w:rPr>
          <w:bCs/>
          <w:i/>
          <w:iCs/>
          <w:lang w:val="en-GB"/>
        </w:rPr>
      </w:pPr>
      <w:r w:rsidRPr="00251A7C">
        <w:rPr>
          <w:bCs/>
          <w:u w:val="single"/>
          <w:lang w:val="en-GB"/>
        </w:rPr>
        <w:t>Fluconazole, oral</w:t>
      </w:r>
      <w:r w:rsidRPr="00251A7C">
        <w:rPr>
          <w:bCs/>
          <w:lang w:val="en-GB"/>
        </w:rPr>
        <w:t xml:space="preserve">: </w:t>
      </w:r>
      <w:r w:rsidRPr="00251A7C">
        <w:rPr>
          <w:bCs/>
          <w:i/>
          <w:iCs/>
          <w:lang w:val="en-GB"/>
        </w:rPr>
        <w:t>deleted</w:t>
      </w:r>
    </w:p>
    <w:p w14:paraId="078CB57F" w14:textId="39130246" w:rsidR="00A05AF1" w:rsidRPr="00251A7C" w:rsidRDefault="00A05AF1" w:rsidP="00E338E1">
      <w:pPr>
        <w:autoSpaceDE w:val="0"/>
        <w:autoSpaceDN w:val="0"/>
        <w:adjustRightInd w:val="0"/>
        <w:spacing w:after="0" w:line="240" w:lineRule="auto"/>
        <w:jc w:val="both"/>
        <w:rPr>
          <w:bCs/>
          <w:i/>
          <w:iCs/>
          <w:lang w:val="en-GB"/>
        </w:rPr>
      </w:pPr>
      <w:r w:rsidRPr="00251A7C">
        <w:rPr>
          <w:bCs/>
          <w:u w:val="single"/>
          <w:lang w:val="en-GB"/>
        </w:rPr>
        <w:t>Echinocandins</w:t>
      </w:r>
      <w:r w:rsidRPr="00251A7C">
        <w:rPr>
          <w:bCs/>
          <w:lang w:val="en-GB"/>
        </w:rPr>
        <w:t xml:space="preserve">: </w:t>
      </w:r>
      <w:r w:rsidRPr="00251A7C">
        <w:rPr>
          <w:bCs/>
          <w:i/>
          <w:iCs/>
          <w:lang w:val="en-GB"/>
        </w:rPr>
        <w:t>retained as specialist motivation</w:t>
      </w:r>
    </w:p>
    <w:p w14:paraId="32D50274" w14:textId="648566F7" w:rsidR="00F25D5E" w:rsidRPr="00251A7C" w:rsidRDefault="00A05AF1" w:rsidP="00E338E1">
      <w:pPr>
        <w:autoSpaceDE w:val="0"/>
        <w:autoSpaceDN w:val="0"/>
        <w:adjustRightInd w:val="0"/>
        <w:spacing w:after="0" w:line="240" w:lineRule="auto"/>
        <w:jc w:val="both"/>
        <w:rPr>
          <w:bCs/>
          <w:lang w:val="en-GB"/>
        </w:rPr>
      </w:pPr>
      <w:r w:rsidRPr="00251A7C">
        <w:rPr>
          <w:bCs/>
          <w:lang w:val="en-GB"/>
        </w:rPr>
        <w:t>As echinocandins are included on the Tertiary &amp; Quaternary EML</w:t>
      </w:r>
      <w:r w:rsidR="00C011B2" w:rsidRPr="00251A7C">
        <w:rPr>
          <w:bCs/>
          <w:lang w:val="en-GB"/>
        </w:rPr>
        <w:t xml:space="preserve"> (June 2022)</w:t>
      </w:r>
      <w:r w:rsidRPr="00251A7C">
        <w:rPr>
          <w:bCs/>
          <w:lang w:val="en-GB"/>
        </w:rPr>
        <w:t xml:space="preserve">, it was considered </w:t>
      </w:r>
      <w:r w:rsidR="000F756F" w:rsidRPr="00251A7C">
        <w:rPr>
          <w:bCs/>
          <w:lang w:val="en-GB"/>
        </w:rPr>
        <w:t xml:space="preserve">more rational to consider echinocandins </w:t>
      </w:r>
      <w:r w:rsidR="00946C78" w:rsidRPr="00251A7C">
        <w:rPr>
          <w:bCs/>
          <w:lang w:val="en-GB"/>
        </w:rPr>
        <w:t>on specialist motivation, than dose-adjusted oral fluconazole in the renally impaired patient who cannot use amphotericin B.</w:t>
      </w:r>
      <w:r w:rsidR="00F25D5E" w:rsidRPr="00251A7C">
        <w:rPr>
          <w:bCs/>
          <w:lang w:val="en-GB"/>
        </w:rPr>
        <w:t xml:space="preserve"> Furthermore, in the previous review cycle, the Adult Hospital Level Committee collaborated with NICD and the following was discussed:</w:t>
      </w:r>
    </w:p>
    <w:tbl>
      <w:tblPr>
        <w:tblStyle w:val="TableGrid"/>
        <w:tblW w:w="0" w:type="auto"/>
        <w:tblLook w:val="04A0" w:firstRow="1" w:lastRow="0" w:firstColumn="1" w:lastColumn="0" w:noHBand="0" w:noVBand="1"/>
      </w:tblPr>
      <w:tblGrid>
        <w:gridCol w:w="10456"/>
      </w:tblGrid>
      <w:tr w:rsidR="00F25D5E" w:rsidRPr="00251A7C" w14:paraId="36212340" w14:textId="77777777" w:rsidTr="00F25D5E">
        <w:tc>
          <w:tcPr>
            <w:tcW w:w="10456" w:type="dxa"/>
          </w:tcPr>
          <w:p w14:paraId="2ACF4125" w14:textId="01AEB039" w:rsidR="00F25D5E" w:rsidRPr="00251A7C" w:rsidRDefault="00F25D5E" w:rsidP="00F25D5E">
            <w:pPr>
              <w:spacing w:after="0" w:line="240" w:lineRule="auto"/>
              <w:jc w:val="both"/>
              <w:rPr>
                <w:rFonts w:asciiTheme="minorHAnsi" w:hAnsiTheme="minorHAnsi" w:cstheme="minorHAnsi"/>
                <w:b/>
                <w:i/>
                <w:iCs/>
                <w:color w:val="FF0000"/>
                <w:u w:val="single"/>
                <w:lang w:val="en-GB"/>
              </w:rPr>
            </w:pPr>
            <w:r w:rsidRPr="00251A7C">
              <w:rPr>
                <w:rFonts w:asciiTheme="minorHAnsi" w:hAnsiTheme="minorHAnsi" w:cstheme="minorHAnsi"/>
                <w:b/>
                <w:i/>
                <w:iCs/>
                <w:color w:val="FF0000"/>
                <w:u w:val="single"/>
                <w:lang w:val="en-GB"/>
              </w:rPr>
              <w:t>ADULT HOSPITAL LEVEL COMMITTEE MINUTES OF THE MEETING OF 23 NOVEMBER 2017:</w:t>
            </w:r>
          </w:p>
          <w:p w14:paraId="07E94655" w14:textId="57BA9323" w:rsidR="00F25D5E" w:rsidRPr="00251A7C" w:rsidRDefault="00F25D5E" w:rsidP="00F25D5E">
            <w:pPr>
              <w:spacing w:after="0" w:line="240" w:lineRule="auto"/>
              <w:jc w:val="both"/>
              <w:rPr>
                <w:rFonts w:asciiTheme="minorHAnsi" w:hAnsiTheme="minorHAnsi" w:cstheme="minorHAnsi"/>
                <w:i/>
                <w:iCs/>
                <w:color w:val="FF0000"/>
                <w:lang w:val="en-GB"/>
              </w:rPr>
            </w:pPr>
            <w:r w:rsidRPr="00251A7C">
              <w:rPr>
                <w:rFonts w:asciiTheme="minorHAnsi" w:hAnsiTheme="minorHAnsi" w:cstheme="minorHAnsi"/>
                <w:b/>
                <w:i/>
                <w:iCs/>
                <w:color w:val="FF0000"/>
                <w:lang w:val="en-GB"/>
              </w:rPr>
              <w:t>Echinocandins:</w:t>
            </w:r>
            <w:r w:rsidRPr="00251A7C">
              <w:rPr>
                <w:rFonts w:asciiTheme="minorHAnsi" w:hAnsiTheme="minorHAnsi" w:cstheme="minorHAnsi"/>
                <w:i/>
                <w:iCs/>
                <w:color w:val="FF0000"/>
                <w:lang w:val="en-GB"/>
              </w:rPr>
              <w:t xml:space="preserve"> Surveillance data suggests that this is the most ideal first-line agent, but it is very expensive</w:t>
            </w:r>
            <w:r w:rsidR="00CE1B7C" w:rsidRPr="00251A7C">
              <w:rPr>
                <w:rFonts w:asciiTheme="minorHAnsi" w:hAnsiTheme="minorHAnsi" w:cstheme="minorHAnsi"/>
                <w:i/>
                <w:iCs/>
                <w:color w:val="FF0000"/>
                <w:lang w:val="en-GB"/>
              </w:rPr>
              <w:t>.</w:t>
            </w:r>
          </w:p>
          <w:p w14:paraId="1B3BE10E" w14:textId="6CAD000E" w:rsidR="00F25D5E" w:rsidRPr="00251A7C" w:rsidRDefault="00CE1B7C" w:rsidP="00F25D5E">
            <w:pPr>
              <w:spacing w:after="0" w:line="240" w:lineRule="auto"/>
              <w:jc w:val="both"/>
              <w:rPr>
                <w:rFonts w:asciiTheme="minorHAnsi" w:hAnsiTheme="minorHAnsi" w:cstheme="minorHAnsi"/>
                <w:b/>
                <w:i/>
                <w:iCs/>
                <w:color w:val="FF0000"/>
                <w:lang w:val="en-GB"/>
              </w:rPr>
            </w:pPr>
            <w:r w:rsidRPr="00251A7C">
              <w:rPr>
                <w:rFonts w:asciiTheme="minorHAnsi" w:hAnsiTheme="minorHAnsi" w:cstheme="minorHAnsi"/>
                <w:i/>
                <w:iCs/>
                <w:noProof/>
                <w:color w:val="FF0000"/>
                <w:spacing w:val="-4"/>
                <w:lang w:val="en-GB"/>
              </w:rPr>
              <w:drawing>
                <wp:anchor distT="0" distB="0" distL="114300" distR="114300" simplePos="0" relativeHeight="251658240" behindDoc="1" locked="0" layoutInCell="1" allowOverlap="1" wp14:anchorId="29D63D83" wp14:editId="315F6BE6">
                  <wp:simplePos x="0" y="0"/>
                  <wp:positionH relativeFrom="column">
                    <wp:posOffset>779145</wp:posOffset>
                  </wp:positionH>
                  <wp:positionV relativeFrom="paragraph">
                    <wp:posOffset>38197</wp:posOffset>
                  </wp:positionV>
                  <wp:extent cx="4662000" cy="1677600"/>
                  <wp:effectExtent l="19050" t="19050" r="24765" b="18415"/>
                  <wp:wrapTight wrapText="bothSides">
                    <wp:wrapPolygon edited="0">
                      <wp:start x="-88" y="-245"/>
                      <wp:lineTo x="-88" y="21592"/>
                      <wp:lineTo x="21626" y="21592"/>
                      <wp:lineTo x="21626" y="-245"/>
                      <wp:lineTo x="-88" y="-2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6224" b="4799"/>
                          <a:stretch/>
                        </pic:blipFill>
                        <pic:spPr bwMode="auto">
                          <a:xfrm>
                            <a:off x="0" y="0"/>
                            <a:ext cx="4662000" cy="16776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541C7E" w14:textId="1A98A2DF" w:rsidR="00CE1B7C" w:rsidRPr="00251A7C" w:rsidRDefault="00CE1B7C" w:rsidP="00F25D5E">
            <w:pPr>
              <w:spacing w:after="0" w:line="240" w:lineRule="auto"/>
              <w:jc w:val="both"/>
              <w:rPr>
                <w:rFonts w:asciiTheme="minorHAnsi" w:hAnsiTheme="minorHAnsi" w:cstheme="minorHAnsi"/>
                <w:b/>
                <w:i/>
                <w:iCs/>
                <w:color w:val="FF0000"/>
                <w:lang w:val="en-GB"/>
              </w:rPr>
            </w:pPr>
          </w:p>
          <w:p w14:paraId="2D922013" w14:textId="2F8D3383" w:rsidR="00CE1B7C" w:rsidRPr="00251A7C" w:rsidRDefault="00CE1B7C" w:rsidP="00F25D5E">
            <w:pPr>
              <w:spacing w:after="0" w:line="240" w:lineRule="auto"/>
              <w:jc w:val="both"/>
              <w:rPr>
                <w:rFonts w:asciiTheme="minorHAnsi" w:hAnsiTheme="minorHAnsi" w:cstheme="minorHAnsi"/>
                <w:b/>
                <w:i/>
                <w:iCs/>
                <w:color w:val="FF0000"/>
                <w:lang w:val="en-GB"/>
              </w:rPr>
            </w:pPr>
          </w:p>
          <w:p w14:paraId="72F74040" w14:textId="5EF9CCA4" w:rsidR="00CE1B7C" w:rsidRPr="00251A7C" w:rsidRDefault="00CE1B7C" w:rsidP="00F25D5E">
            <w:pPr>
              <w:spacing w:after="0" w:line="240" w:lineRule="auto"/>
              <w:jc w:val="both"/>
              <w:rPr>
                <w:rFonts w:asciiTheme="minorHAnsi" w:hAnsiTheme="minorHAnsi" w:cstheme="minorHAnsi"/>
                <w:b/>
                <w:i/>
                <w:iCs/>
                <w:color w:val="FF0000"/>
                <w:lang w:val="en-GB"/>
              </w:rPr>
            </w:pPr>
          </w:p>
          <w:p w14:paraId="148A9DC0" w14:textId="3A1F9804" w:rsidR="00CE1B7C" w:rsidRPr="00251A7C" w:rsidRDefault="00CE1B7C" w:rsidP="00F25D5E">
            <w:pPr>
              <w:spacing w:after="0" w:line="240" w:lineRule="auto"/>
              <w:jc w:val="both"/>
              <w:rPr>
                <w:rFonts w:asciiTheme="minorHAnsi" w:hAnsiTheme="minorHAnsi" w:cstheme="minorHAnsi"/>
                <w:b/>
                <w:i/>
                <w:iCs/>
                <w:color w:val="FF0000"/>
                <w:lang w:val="en-GB"/>
              </w:rPr>
            </w:pPr>
          </w:p>
          <w:p w14:paraId="431EF322" w14:textId="6FC1B5A5" w:rsidR="00CE1B7C" w:rsidRPr="00251A7C" w:rsidRDefault="00CE1B7C" w:rsidP="00F25D5E">
            <w:pPr>
              <w:spacing w:after="0" w:line="240" w:lineRule="auto"/>
              <w:jc w:val="both"/>
              <w:rPr>
                <w:rFonts w:asciiTheme="minorHAnsi" w:hAnsiTheme="minorHAnsi" w:cstheme="minorHAnsi"/>
                <w:b/>
                <w:i/>
                <w:iCs/>
                <w:color w:val="FF0000"/>
                <w:lang w:val="en-GB"/>
              </w:rPr>
            </w:pPr>
          </w:p>
          <w:p w14:paraId="75625CDF" w14:textId="55A2EA0A" w:rsidR="00CE1B7C" w:rsidRPr="00251A7C" w:rsidRDefault="00CE1B7C" w:rsidP="00F25D5E">
            <w:pPr>
              <w:spacing w:after="0" w:line="240" w:lineRule="auto"/>
              <w:jc w:val="both"/>
              <w:rPr>
                <w:rFonts w:asciiTheme="minorHAnsi" w:hAnsiTheme="minorHAnsi" w:cstheme="minorHAnsi"/>
                <w:b/>
                <w:i/>
                <w:iCs/>
                <w:color w:val="FF0000"/>
                <w:lang w:val="en-GB"/>
              </w:rPr>
            </w:pPr>
          </w:p>
          <w:p w14:paraId="65F95507" w14:textId="77777777" w:rsidR="00CE1B7C" w:rsidRPr="00251A7C" w:rsidRDefault="00CE1B7C" w:rsidP="00F25D5E">
            <w:pPr>
              <w:spacing w:after="0" w:line="240" w:lineRule="auto"/>
              <w:jc w:val="both"/>
              <w:rPr>
                <w:rFonts w:asciiTheme="minorHAnsi" w:hAnsiTheme="minorHAnsi" w:cstheme="minorHAnsi"/>
                <w:b/>
                <w:i/>
                <w:iCs/>
                <w:color w:val="FF0000"/>
                <w:lang w:val="en-GB"/>
              </w:rPr>
            </w:pPr>
          </w:p>
          <w:p w14:paraId="3F74E614" w14:textId="7C1516B3" w:rsidR="00CE1B7C" w:rsidRPr="00251A7C" w:rsidRDefault="00CE1B7C" w:rsidP="00F25D5E">
            <w:pPr>
              <w:spacing w:after="0" w:line="240" w:lineRule="auto"/>
              <w:jc w:val="both"/>
              <w:rPr>
                <w:rFonts w:asciiTheme="minorHAnsi" w:hAnsiTheme="minorHAnsi" w:cstheme="minorHAnsi"/>
                <w:b/>
                <w:i/>
                <w:iCs/>
                <w:color w:val="FF0000"/>
                <w:lang w:val="en-GB"/>
              </w:rPr>
            </w:pPr>
          </w:p>
          <w:p w14:paraId="21524B7F" w14:textId="63ADB573" w:rsidR="00CE1B7C" w:rsidRPr="00251A7C" w:rsidRDefault="00CE1B7C" w:rsidP="00F25D5E">
            <w:pPr>
              <w:spacing w:after="0" w:line="240" w:lineRule="auto"/>
              <w:jc w:val="both"/>
              <w:rPr>
                <w:rFonts w:asciiTheme="minorHAnsi" w:hAnsiTheme="minorHAnsi" w:cstheme="minorHAnsi"/>
                <w:b/>
                <w:i/>
                <w:iCs/>
                <w:color w:val="FF0000"/>
                <w:lang w:val="en-GB"/>
              </w:rPr>
            </w:pPr>
          </w:p>
          <w:p w14:paraId="1CFF4B50" w14:textId="4791EFCC" w:rsidR="00CE1B7C" w:rsidRPr="00251A7C" w:rsidRDefault="00CE1B7C" w:rsidP="00F25D5E">
            <w:pPr>
              <w:spacing w:after="0" w:line="240" w:lineRule="auto"/>
              <w:jc w:val="both"/>
              <w:rPr>
                <w:rFonts w:asciiTheme="minorHAnsi" w:hAnsiTheme="minorHAnsi" w:cstheme="minorHAnsi"/>
                <w:b/>
                <w:i/>
                <w:iCs/>
                <w:color w:val="FF0000"/>
                <w:lang w:val="en-GB"/>
              </w:rPr>
            </w:pPr>
          </w:p>
          <w:p w14:paraId="41FAC979" w14:textId="77777777" w:rsidR="00CE1B7C" w:rsidRPr="00251A7C" w:rsidRDefault="00CE1B7C" w:rsidP="00F25D5E">
            <w:pPr>
              <w:spacing w:after="0" w:line="240" w:lineRule="auto"/>
              <w:jc w:val="both"/>
              <w:rPr>
                <w:rFonts w:asciiTheme="minorHAnsi" w:hAnsiTheme="minorHAnsi" w:cstheme="minorHAnsi"/>
                <w:b/>
                <w:i/>
                <w:iCs/>
                <w:color w:val="FF0000"/>
                <w:lang w:val="en-GB"/>
              </w:rPr>
            </w:pPr>
          </w:p>
          <w:p w14:paraId="63359613" w14:textId="1A791C28" w:rsidR="00F25D5E" w:rsidRPr="00251A7C" w:rsidRDefault="00F25D5E" w:rsidP="00F25D5E">
            <w:pPr>
              <w:spacing w:after="0" w:line="240" w:lineRule="auto"/>
              <w:jc w:val="both"/>
              <w:rPr>
                <w:rFonts w:asciiTheme="minorHAnsi" w:hAnsiTheme="minorHAnsi" w:cstheme="minorHAnsi"/>
                <w:i/>
                <w:iCs/>
                <w:color w:val="FF0000"/>
                <w:lang w:val="en-GB"/>
              </w:rPr>
            </w:pPr>
            <w:r w:rsidRPr="00251A7C">
              <w:rPr>
                <w:rFonts w:asciiTheme="minorHAnsi" w:hAnsiTheme="minorHAnsi" w:cstheme="minorHAnsi"/>
                <w:b/>
                <w:i/>
                <w:iCs/>
                <w:color w:val="FF0000"/>
                <w:lang w:val="en-GB"/>
              </w:rPr>
              <w:lastRenderedPageBreak/>
              <w:t xml:space="preserve">Amphotericin B: </w:t>
            </w:r>
            <w:r w:rsidRPr="00251A7C">
              <w:rPr>
                <w:rFonts w:asciiTheme="minorHAnsi" w:hAnsiTheme="minorHAnsi" w:cstheme="minorHAnsi"/>
                <w:i/>
                <w:iCs/>
                <w:color w:val="FF0000"/>
                <w:lang w:val="en-GB"/>
              </w:rPr>
              <w:t>Still a reliable first-line antifungal agent, but has serious adverse effects.</w:t>
            </w:r>
          </w:p>
          <w:p w14:paraId="19CB3564" w14:textId="21C33209" w:rsidR="00F25D5E" w:rsidRPr="00251A7C" w:rsidRDefault="00F25D5E" w:rsidP="00954696">
            <w:pPr>
              <w:spacing w:after="0" w:line="240" w:lineRule="auto"/>
              <w:rPr>
                <w:rFonts w:asciiTheme="minorHAnsi" w:hAnsiTheme="minorHAnsi" w:cstheme="minorHAnsi"/>
                <w:b/>
                <w:i/>
                <w:iCs/>
                <w:color w:val="FF0000"/>
                <w:sz w:val="10"/>
                <w:szCs w:val="10"/>
                <w:lang w:val="en-GB"/>
              </w:rPr>
            </w:pPr>
          </w:p>
          <w:p w14:paraId="23CBF2AE" w14:textId="77EF5A1E" w:rsidR="00F25D5E" w:rsidRPr="00251A7C" w:rsidRDefault="00F25D5E" w:rsidP="00F25D5E">
            <w:pPr>
              <w:spacing w:after="0" w:line="240" w:lineRule="auto"/>
              <w:jc w:val="both"/>
              <w:rPr>
                <w:rFonts w:asciiTheme="minorHAnsi" w:hAnsiTheme="minorHAnsi" w:cstheme="minorHAnsi"/>
                <w:i/>
                <w:iCs/>
                <w:color w:val="FF0000"/>
                <w:spacing w:val="-4"/>
                <w:lang w:val="en-GB"/>
              </w:rPr>
            </w:pPr>
            <w:r w:rsidRPr="00251A7C">
              <w:rPr>
                <w:rFonts w:asciiTheme="minorHAnsi" w:hAnsiTheme="minorHAnsi" w:cstheme="minorHAnsi"/>
                <w:b/>
                <w:i/>
                <w:iCs/>
                <w:color w:val="FF0000"/>
                <w:spacing w:val="-4"/>
                <w:lang w:val="en-GB"/>
              </w:rPr>
              <w:t xml:space="preserve">Candida auris: </w:t>
            </w:r>
            <w:r w:rsidRPr="00251A7C">
              <w:rPr>
                <w:rFonts w:asciiTheme="minorHAnsi" w:hAnsiTheme="minorHAnsi" w:cstheme="minorHAnsi"/>
                <w:i/>
                <w:iCs/>
                <w:color w:val="FF0000"/>
                <w:spacing w:val="-4"/>
                <w:lang w:val="en-GB"/>
              </w:rPr>
              <w:t>Cases of drug-resistant candida auris bloodstream infections recorded by NICD. However, based on CDC cut-off values; despite 85% resistance to fluconazole; only 13% of isolates reported to be resistant to amphotericin B and &lt;1% resistant to echinocandin.</w:t>
            </w:r>
          </w:p>
          <w:p w14:paraId="3461226A" w14:textId="77777777" w:rsidR="00CE1B7C" w:rsidRPr="00251A7C" w:rsidRDefault="00CE1B7C" w:rsidP="00F25D5E">
            <w:pPr>
              <w:spacing w:after="0" w:line="240" w:lineRule="auto"/>
              <w:jc w:val="both"/>
              <w:rPr>
                <w:rFonts w:asciiTheme="minorHAnsi" w:hAnsiTheme="minorHAnsi" w:cstheme="minorHAnsi"/>
                <w:i/>
                <w:iCs/>
                <w:color w:val="FF0000"/>
                <w:spacing w:val="-4"/>
                <w:sz w:val="10"/>
                <w:szCs w:val="10"/>
                <w:lang w:val="en-GB"/>
              </w:rPr>
            </w:pPr>
          </w:p>
          <w:p w14:paraId="18A61284" w14:textId="48494B3E" w:rsidR="00F25D5E" w:rsidRPr="00251A7C" w:rsidRDefault="00F25D5E" w:rsidP="00F25D5E">
            <w:pPr>
              <w:widowControl w:val="0"/>
              <w:autoSpaceDE w:val="0"/>
              <w:autoSpaceDN w:val="0"/>
              <w:adjustRightInd w:val="0"/>
              <w:spacing w:after="0" w:line="240" w:lineRule="auto"/>
              <w:jc w:val="both"/>
              <w:rPr>
                <w:rFonts w:cstheme="minorHAnsi"/>
                <w:i/>
                <w:iCs/>
                <w:color w:val="FF0000"/>
                <w:lang w:val="en-GB"/>
              </w:rPr>
            </w:pPr>
            <w:r w:rsidRPr="00251A7C">
              <w:rPr>
                <w:rFonts w:asciiTheme="minorHAnsi" w:hAnsiTheme="minorHAnsi" w:cstheme="minorHAnsi"/>
                <w:i/>
                <w:iCs/>
                <w:color w:val="FF0000"/>
                <w:spacing w:val="-4"/>
                <w:lang w:val="en-GB"/>
              </w:rPr>
              <w:t>Thus, the text of the STG was amended to recommend treatment with fluconazole, oral, only once susceptibility has been confirmed</w:t>
            </w:r>
            <w:r w:rsidRPr="00251A7C">
              <w:rPr>
                <w:rFonts w:cstheme="minorHAnsi"/>
                <w:i/>
                <w:iCs/>
                <w:color w:val="FF0000"/>
                <w:lang w:val="en-GB"/>
              </w:rPr>
              <w:t>.</w:t>
            </w:r>
          </w:p>
        </w:tc>
      </w:tr>
    </w:tbl>
    <w:p w14:paraId="034FE2C8" w14:textId="689C9470" w:rsidR="00954696" w:rsidRPr="00251A7C" w:rsidRDefault="00954696" w:rsidP="00954696">
      <w:pPr>
        <w:spacing w:after="0" w:line="240" w:lineRule="auto"/>
        <w:jc w:val="both"/>
        <w:rPr>
          <w:b/>
          <w:bCs/>
          <w:lang w:val="en-GB"/>
        </w:rPr>
      </w:pPr>
      <w:r w:rsidRPr="00251A7C">
        <w:rPr>
          <w:b/>
          <w:bCs/>
          <w:lang w:val="en-GB"/>
        </w:rPr>
        <w:lastRenderedPageBreak/>
        <w:t xml:space="preserve">Level of Evidence: </w:t>
      </w:r>
      <w:r w:rsidR="00C011B2" w:rsidRPr="00251A7C">
        <w:rPr>
          <w:b/>
          <w:bCs/>
          <w:lang w:val="en-GB"/>
        </w:rPr>
        <w:t xml:space="preserve">Low certainty evidence, conditional recommendation </w:t>
      </w:r>
    </w:p>
    <w:p w14:paraId="38EBB358" w14:textId="54E5207C" w:rsidR="00A05AF1" w:rsidRPr="00251A7C" w:rsidRDefault="00A05AF1" w:rsidP="00E338E1">
      <w:pPr>
        <w:autoSpaceDE w:val="0"/>
        <w:autoSpaceDN w:val="0"/>
        <w:adjustRightInd w:val="0"/>
        <w:spacing w:after="0" w:line="240" w:lineRule="auto"/>
        <w:jc w:val="both"/>
        <w:rPr>
          <w:bCs/>
          <w:lang w:val="en-GB"/>
        </w:rPr>
      </w:pPr>
    </w:p>
    <w:p w14:paraId="2C4388DE" w14:textId="77777777" w:rsidR="001F7BB8" w:rsidRPr="00251A7C" w:rsidRDefault="001F7BB8" w:rsidP="00E338E1">
      <w:pPr>
        <w:autoSpaceDE w:val="0"/>
        <w:autoSpaceDN w:val="0"/>
        <w:adjustRightInd w:val="0"/>
        <w:spacing w:after="0" w:line="240" w:lineRule="auto"/>
        <w:jc w:val="both"/>
        <w:rPr>
          <w:b/>
          <w:sz w:val="20"/>
          <w:szCs w:val="12"/>
          <w:lang w:val="en-GB"/>
        </w:rPr>
      </w:pPr>
    </w:p>
    <w:tbl>
      <w:tblPr>
        <w:tblW w:w="5000" w:type="pct"/>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firstRow="1" w:lastRow="0" w:firstColumn="1" w:lastColumn="0" w:noHBand="0" w:noVBand="0"/>
      </w:tblPr>
      <w:tblGrid>
        <w:gridCol w:w="10436"/>
      </w:tblGrid>
      <w:tr w:rsidR="008F728F" w:rsidRPr="00251A7C" w14:paraId="7D1A4CBC" w14:textId="77777777" w:rsidTr="00331478">
        <w:tc>
          <w:tcPr>
            <w:tcW w:w="5000" w:type="pct"/>
            <w:tcBorders>
              <w:top w:val="double" w:sz="4" w:space="0" w:color="C0C0C0"/>
              <w:left w:val="double" w:sz="4" w:space="0" w:color="C0C0C0"/>
              <w:bottom w:val="double" w:sz="4" w:space="0" w:color="C0C0C0"/>
              <w:right w:val="double" w:sz="4" w:space="0" w:color="C0C0C0"/>
            </w:tcBorders>
          </w:tcPr>
          <w:p w14:paraId="25E92AC3" w14:textId="18DDE7F1" w:rsidR="00EA721E" w:rsidRPr="00251A7C" w:rsidRDefault="00EA721E" w:rsidP="00331478">
            <w:pPr>
              <w:widowControl w:val="0"/>
              <w:autoSpaceDE w:val="0"/>
              <w:autoSpaceDN w:val="0"/>
              <w:adjustRightInd w:val="0"/>
              <w:spacing w:before="120" w:after="120" w:line="240" w:lineRule="auto"/>
              <w:rPr>
                <w:rFonts w:cs="Calibri"/>
                <w:b/>
                <w:spacing w:val="-4"/>
                <w:szCs w:val="20"/>
                <w:lang w:val="en-GB"/>
              </w:rPr>
            </w:pPr>
            <w:r w:rsidRPr="00251A7C">
              <w:rPr>
                <w:rFonts w:cs="Calibri"/>
                <w:b/>
                <w:spacing w:val="-4"/>
                <w:szCs w:val="20"/>
                <w:lang w:val="en-GB"/>
              </w:rPr>
              <w:t>9.1.2 SURGICAL WOUND INFECTIONS</w:t>
            </w:r>
          </w:p>
        </w:tc>
      </w:tr>
    </w:tbl>
    <w:p w14:paraId="36C507DE" w14:textId="77777777" w:rsidR="00EA721E" w:rsidRPr="00251A7C" w:rsidRDefault="00EA721E" w:rsidP="00EA721E">
      <w:pPr>
        <w:autoSpaceDE w:val="0"/>
        <w:autoSpaceDN w:val="0"/>
        <w:adjustRightInd w:val="0"/>
        <w:spacing w:after="0" w:line="240" w:lineRule="auto"/>
        <w:jc w:val="both"/>
        <w:rPr>
          <w:bCs/>
          <w:lang w:val="en-GB"/>
        </w:rPr>
      </w:pPr>
      <w:r w:rsidRPr="00251A7C">
        <w:rPr>
          <w:bCs/>
          <w:u w:val="single"/>
          <w:lang w:val="en-GB"/>
        </w:rPr>
        <w:t>Vancomycin, IV:</w:t>
      </w:r>
      <w:r w:rsidRPr="00251A7C">
        <w:rPr>
          <w:bCs/>
          <w:lang w:val="en-GB"/>
        </w:rPr>
        <w:t xml:space="preserve"> </w:t>
      </w:r>
      <w:r w:rsidRPr="00251A7C">
        <w:rPr>
          <w:bCs/>
          <w:i/>
          <w:iCs/>
          <w:lang w:val="en-GB"/>
        </w:rPr>
        <w:t>dosing amended</w:t>
      </w:r>
    </w:p>
    <w:p w14:paraId="7B532CCE" w14:textId="5BF8FB67" w:rsidR="00B60AB8" w:rsidRPr="00251A7C" w:rsidRDefault="00EA721E" w:rsidP="00E338E1">
      <w:pPr>
        <w:autoSpaceDE w:val="0"/>
        <w:autoSpaceDN w:val="0"/>
        <w:adjustRightInd w:val="0"/>
        <w:spacing w:after="0" w:line="240" w:lineRule="auto"/>
        <w:jc w:val="both"/>
        <w:rPr>
          <w:rFonts w:cstheme="minorHAnsi"/>
          <w:lang w:val="en-GB"/>
        </w:rPr>
      </w:pPr>
      <w:r w:rsidRPr="00251A7C">
        <w:rPr>
          <w:lang w:val="en-GB"/>
        </w:rPr>
        <w:t>Aligned with section 9.1.1: Intravascular catheter infections (see above).</w:t>
      </w:r>
    </w:p>
    <w:p w14:paraId="3A35E8D6" w14:textId="1EB9FBE0" w:rsidR="00EA721E" w:rsidRPr="00251A7C" w:rsidRDefault="00EA721E" w:rsidP="00E338E1">
      <w:pPr>
        <w:autoSpaceDE w:val="0"/>
        <w:autoSpaceDN w:val="0"/>
        <w:adjustRightInd w:val="0"/>
        <w:spacing w:after="0" w:line="240" w:lineRule="auto"/>
        <w:jc w:val="both"/>
        <w:rPr>
          <w:sz w:val="20"/>
          <w:szCs w:val="12"/>
          <w:lang w:val="en-GB"/>
        </w:rPr>
      </w:pPr>
    </w:p>
    <w:p w14:paraId="600070B4" w14:textId="77777777" w:rsidR="009B3014" w:rsidRPr="00251A7C" w:rsidRDefault="009B3014" w:rsidP="00E338E1">
      <w:pPr>
        <w:autoSpaceDE w:val="0"/>
        <w:autoSpaceDN w:val="0"/>
        <w:adjustRightInd w:val="0"/>
        <w:spacing w:after="0" w:line="240" w:lineRule="auto"/>
        <w:jc w:val="both"/>
        <w:rPr>
          <w:sz w:val="20"/>
          <w:szCs w:val="12"/>
          <w:lang w:val="en-GB"/>
        </w:rPr>
      </w:pPr>
    </w:p>
    <w:tbl>
      <w:tblPr>
        <w:tblW w:w="5000" w:type="pct"/>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firstRow="1" w:lastRow="0" w:firstColumn="1" w:lastColumn="0" w:noHBand="0" w:noVBand="0"/>
      </w:tblPr>
      <w:tblGrid>
        <w:gridCol w:w="10436"/>
      </w:tblGrid>
      <w:tr w:rsidR="008F728F" w:rsidRPr="00251A7C" w14:paraId="6DC5DE99" w14:textId="77777777" w:rsidTr="00EA2412">
        <w:tc>
          <w:tcPr>
            <w:tcW w:w="5000" w:type="pct"/>
            <w:tcBorders>
              <w:top w:val="double" w:sz="4" w:space="0" w:color="C0C0C0"/>
              <w:left w:val="double" w:sz="4" w:space="0" w:color="C0C0C0"/>
              <w:bottom w:val="double" w:sz="4" w:space="0" w:color="C0C0C0"/>
              <w:right w:val="double" w:sz="4" w:space="0" w:color="C0C0C0"/>
            </w:tcBorders>
          </w:tcPr>
          <w:p w14:paraId="349C5DC3" w14:textId="78FAF7EC" w:rsidR="00954696" w:rsidRPr="00251A7C" w:rsidRDefault="00077683" w:rsidP="00EA2412">
            <w:pPr>
              <w:widowControl w:val="0"/>
              <w:autoSpaceDE w:val="0"/>
              <w:autoSpaceDN w:val="0"/>
              <w:adjustRightInd w:val="0"/>
              <w:spacing w:before="120" w:after="120" w:line="240" w:lineRule="auto"/>
              <w:rPr>
                <w:rFonts w:cs="Calibri"/>
                <w:b/>
                <w:lang w:val="en-GB"/>
              </w:rPr>
            </w:pPr>
            <w:r w:rsidRPr="00251A7C">
              <w:rPr>
                <w:rFonts w:cs="Calibri"/>
                <w:b/>
                <w:spacing w:val="-4"/>
                <w:szCs w:val="20"/>
                <w:lang w:val="en-GB"/>
              </w:rPr>
              <w:t>9.1.3 HOSPITAL-ACQUIRED PNEUMONIA (HAP) AND VENTILATOR-ASSOCIATED PNEUMONIA (VAP)</w:t>
            </w:r>
          </w:p>
        </w:tc>
      </w:tr>
    </w:tbl>
    <w:p w14:paraId="1B917C41" w14:textId="313C9242" w:rsidR="00954696" w:rsidRPr="00251A7C" w:rsidRDefault="00734D13" w:rsidP="00E338E1">
      <w:pPr>
        <w:autoSpaceDE w:val="0"/>
        <w:autoSpaceDN w:val="0"/>
        <w:adjustRightInd w:val="0"/>
        <w:spacing w:after="0" w:line="240" w:lineRule="auto"/>
        <w:jc w:val="both"/>
        <w:rPr>
          <w:rFonts w:cs="Calibri"/>
          <w:spacing w:val="-4"/>
          <w:lang w:val="en-GB"/>
        </w:rPr>
      </w:pPr>
      <w:r w:rsidRPr="00251A7C">
        <w:rPr>
          <w:lang w:val="en-GB"/>
        </w:rPr>
        <w:t>Title of this STG was amended from “</w:t>
      </w:r>
      <w:r w:rsidRPr="00251A7C">
        <w:rPr>
          <w:rFonts w:cs="Calibri"/>
          <w:i/>
          <w:iCs/>
          <w:spacing w:val="-4"/>
          <w:lang w:val="en-GB"/>
        </w:rPr>
        <w:t>Hospital-acquired pneumonia (HAP)”</w:t>
      </w:r>
      <w:r w:rsidRPr="00251A7C">
        <w:rPr>
          <w:rFonts w:cs="Calibri"/>
          <w:spacing w:val="-4"/>
          <w:lang w:val="en-GB"/>
        </w:rPr>
        <w:t xml:space="preserve"> to align with international best practice.</w:t>
      </w:r>
    </w:p>
    <w:p w14:paraId="7BC3B6F4" w14:textId="09445047" w:rsidR="00734D13" w:rsidRPr="00251A7C" w:rsidRDefault="00734D13" w:rsidP="00E338E1">
      <w:pPr>
        <w:autoSpaceDE w:val="0"/>
        <w:autoSpaceDN w:val="0"/>
        <w:adjustRightInd w:val="0"/>
        <w:spacing w:after="0" w:line="240" w:lineRule="auto"/>
        <w:jc w:val="both"/>
        <w:rPr>
          <w:rFonts w:cs="Calibri"/>
          <w:spacing w:val="-4"/>
          <w:lang w:val="en-GB"/>
        </w:rPr>
      </w:pPr>
    </w:p>
    <w:p w14:paraId="1CC857D6" w14:textId="672BE684" w:rsidR="00734D13" w:rsidRPr="00251A7C" w:rsidRDefault="00734D13" w:rsidP="00E338E1">
      <w:pPr>
        <w:autoSpaceDE w:val="0"/>
        <w:autoSpaceDN w:val="0"/>
        <w:adjustRightInd w:val="0"/>
        <w:spacing w:after="0" w:line="240" w:lineRule="auto"/>
        <w:jc w:val="both"/>
        <w:rPr>
          <w:lang w:val="en-GB"/>
        </w:rPr>
      </w:pPr>
      <w:r w:rsidRPr="00251A7C">
        <w:rPr>
          <w:u w:val="single"/>
          <w:lang w:val="en-GB"/>
        </w:rPr>
        <w:t>Empiric antibiotic therapy:</w:t>
      </w:r>
      <w:r w:rsidRPr="00251A7C">
        <w:rPr>
          <w:lang w:val="en-GB"/>
        </w:rPr>
        <w:t xml:space="preserve"> </w:t>
      </w:r>
      <w:r w:rsidRPr="00251A7C">
        <w:rPr>
          <w:i/>
          <w:iCs/>
          <w:lang w:val="en-GB"/>
        </w:rPr>
        <w:t>duration amended</w:t>
      </w:r>
    </w:p>
    <w:p w14:paraId="79CB5E41" w14:textId="6910B8C0" w:rsidR="00975AD0" w:rsidRPr="00251A7C" w:rsidRDefault="00734D13" w:rsidP="00E338E1">
      <w:pPr>
        <w:autoSpaceDE w:val="0"/>
        <w:autoSpaceDN w:val="0"/>
        <w:adjustRightInd w:val="0"/>
        <w:spacing w:after="0" w:line="240" w:lineRule="auto"/>
        <w:jc w:val="both"/>
        <w:rPr>
          <w:spacing w:val="-2"/>
          <w:lang w:val="en-GB"/>
        </w:rPr>
      </w:pPr>
      <w:r w:rsidRPr="00251A7C">
        <w:rPr>
          <w:spacing w:val="-2"/>
          <w:lang w:val="en-GB"/>
        </w:rPr>
        <w:t xml:space="preserve">Duration of empiric antibiotic therapy amended from </w:t>
      </w:r>
      <w:r w:rsidRPr="00251A7C">
        <w:rPr>
          <w:i/>
          <w:iCs/>
          <w:spacing w:val="-2"/>
          <w:lang w:val="en-GB"/>
        </w:rPr>
        <w:t>“10”</w:t>
      </w:r>
      <w:r w:rsidRPr="00251A7C">
        <w:rPr>
          <w:spacing w:val="-2"/>
          <w:lang w:val="en-GB"/>
        </w:rPr>
        <w:t xml:space="preserve"> to </w:t>
      </w:r>
      <w:r w:rsidRPr="00251A7C">
        <w:rPr>
          <w:i/>
          <w:iCs/>
          <w:spacing w:val="-2"/>
          <w:lang w:val="en-GB"/>
        </w:rPr>
        <w:t>“7”</w:t>
      </w:r>
      <w:r w:rsidRPr="00251A7C">
        <w:rPr>
          <w:spacing w:val="-2"/>
          <w:lang w:val="en-GB"/>
        </w:rPr>
        <w:t xml:space="preserve"> days</w:t>
      </w:r>
      <w:r w:rsidR="00975AD0" w:rsidRPr="00251A7C">
        <w:rPr>
          <w:spacing w:val="-2"/>
          <w:lang w:val="en-GB"/>
        </w:rPr>
        <w:t>, aligned with the 2016 Infectious Diseases Society of America</w:t>
      </w:r>
      <w:r w:rsidR="00DC25FA" w:rsidRPr="00251A7C">
        <w:rPr>
          <w:spacing w:val="-2"/>
          <w:lang w:val="en-GB"/>
        </w:rPr>
        <w:t xml:space="preserve"> (IDSA)</w:t>
      </w:r>
      <w:r w:rsidR="00975AD0" w:rsidRPr="00251A7C">
        <w:rPr>
          <w:spacing w:val="-2"/>
          <w:lang w:val="en-GB"/>
        </w:rPr>
        <w:t xml:space="preserve"> and the American Thoracic Society</w:t>
      </w:r>
      <w:r w:rsidR="00DC25FA" w:rsidRPr="00251A7C">
        <w:rPr>
          <w:spacing w:val="-2"/>
          <w:lang w:val="en-GB"/>
        </w:rPr>
        <w:t xml:space="preserve"> (ATS)</w:t>
      </w:r>
      <w:r w:rsidR="00975AD0" w:rsidRPr="00251A7C">
        <w:rPr>
          <w:spacing w:val="-2"/>
          <w:lang w:val="en-GB"/>
        </w:rPr>
        <w:t xml:space="preserve"> Guidelines</w:t>
      </w:r>
      <w:r w:rsidR="000D7ED2" w:rsidRPr="00251A7C">
        <w:rPr>
          <w:rStyle w:val="FootnoteReference"/>
          <w:spacing w:val="-2"/>
          <w:lang w:val="en-GB"/>
        </w:rPr>
        <w:footnoteReference w:id="1"/>
      </w:r>
      <w:r w:rsidR="00975AD0" w:rsidRPr="00251A7C">
        <w:rPr>
          <w:spacing w:val="-2"/>
          <w:lang w:val="en-GB"/>
        </w:rPr>
        <w:t xml:space="preserve"> that cite the following systematic reviews:</w:t>
      </w:r>
    </w:p>
    <w:p w14:paraId="75B0BA84" w14:textId="77777777" w:rsidR="00E02887" w:rsidRPr="00251A7C" w:rsidRDefault="00E02887" w:rsidP="00E338E1">
      <w:pPr>
        <w:autoSpaceDE w:val="0"/>
        <w:autoSpaceDN w:val="0"/>
        <w:adjustRightInd w:val="0"/>
        <w:spacing w:after="0" w:line="240" w:lineRule="auto"/>
        <w:jc w:val="both"/>
        <w:rPr>
          <w:lang w:val="en-GB"/>
        </w:rPr>
      </w:pPr>
    </w:p>
    <w:p w14:paraId="48DB03AA" w14:textId="6F7E6394" w:rsidR="00975AD0" w:rsidRPr="00251A7C" w:rsidRDefault="00F83978">
      <w:pPr>
        <w:pStyle w:val="ListParagraph"/>
        <w:numPr>
          <w:ilvl w:val="0"/>
          <w:numId w:val="6"/>
        </w:numPr>
        <w:autoSpaceDE w:val="0"/>
        <w:autoSpaceDN w:val="0"/>
        <w:adjustRightInd w:val="0"/>
        <w:ind w:left="567" w:hanging="283"/>
        <w:jc w:val="both"/>
        <w:rPr>
          <w:rFonts w:asciiTheme="minorHAnsi" w:hAnsiTheme="minorHAnsi" w:cstheme="minorHAnsi"/>
          <w:b/>
          <w:bCs/>
          <w:i/>
          <w:iCs/>
          <w:sz w:val="22"/>
          <w:szCs w:val="22"/>
        </w:rPr>
      </w:pPr>
      <w:r w:rsidRPr="00251A7C">
        <w:rPr>
          <w:rFonts w:asciiTheme="minorHAnsi" w:hAnsiTheme="minorHAnsi" w:cstheme="minorHAnsi"/>
          <w:b/>
          <w:bCs/>
          <w:i/>
          <w:iCs/>
          <w:spacing w:val="-4"/>
          <w:sz w:val="22"/>
          <w:szCs w:val="22"/>
        </w:rPr>
        <w:t>Ventilator-associated pneumonia</w:t>
      </w:r>
      <w:r w:rsidR="00975AD0" w:rsidRPr="00251A7C">
        <w:rPr>
          <w:rFonts w:asciiTheme="minorHAnsi" w:hAnsiTheme="minorHAnsi" w:cstheme="minorHAnsi"/>
          <w:b/>
          <w:bCs/>
          <w:i/>
          <w:iCs/>
          <w:sz w:val="22"/>
          <w:szCs w:val="22"/>
        </w:rPr>
        <w:t>:</w:t>
      </w:r>
    </w:p>
    <w:p w14:paraId="69329546" w14:textId="1D4A615E" w:rsidR="00F636BE" w:rsidRPr="00251A7C" w:rsidRDefault="00975AD0">
      <w:pPr>
        <w:pStyle w:val="ListParagraph"/>
        <w:numPr>
          <w:ilvl w:val="0"/>
          <w:numId w:val="7"/>
        </w:numPr>
        <w:autoSpaceDE w:val="0"/>
        <w:autoSpaceDN w:val="0"/>
        <w:adjustRightInd w:val="0"/>
        <w:ind w:left="851" w:hanging="284"/>
        <w:jc w:val="both"/>
        <w:rPr>
          <w:rFonts w:asciiTheme="minorHAnsi" w:hAnsiTheme="minorHAnsi" w:cstheme="minorHAnsi"/>
          <w:sz w:val="22"/>
          <w:szCs w:val="22"/>
        </w:rPr>
      </w:pPr>
      <w:r w:rsidRPr="00251A7C">
        <w:rPr>
          <w:rFonts w:asciiTheme="minorHAnsi" w:hAnsiTheme="minorHAnsi" w:cstheme="minorHAnsi"/>
          <w:i/>
          <w:iCs/>
          <w:sz w:val="22"/>
          <w:szCs w:val="22"/>
        </w:rPr>
        <w:t>Pugh et al (2015)</w:t>
      </w:r>
      <w:r w:rsidR="000D7ED2" w:rsidRPr="00251A7C">
        <w:rPr>
          <w:rStyle w:val="FootnoteReference"/>
          <w:rFonts w:asciiTheme="minorHAnsi" w:hAnsiTheme="minorHAnsi" w:cstheme="minorHAnsi"/>
          <w:i/>
          <w:iCs/>
          <w:sz w:val="22"/>
          <w:szCs w:val="22"/>
        </w:rPr>
        <w:footnoteReference w:id="2"/>
      </w:r>
      <w:r w:rsidRPr="00251A7C">
        <w:rPr>
          <w:rFonts w:asciiTheme="minorHAnsi" w:hAnsiTheme="minorHAnsi" w:cstheme="minorHAnsi"/>
          <w:i/>
          <w:iCs/>
          <w:sz w:val="22"/>
          <w:szCs w:val="22"/>
        </w:rPr>
        <w:t>:</w:t>
      </w:r>
      <w:r w:rsidR="00F25B72" w:rsidRPr="00251A7C">
        <w:rPr>
          <w:rFonts w:asciiTheme="minorHAnsi" w:hAnsiTheme="minorHAnsi" w:cstheme="minorHAnsi"/>
          <w:sz w:val="22"/>
          <w:szCs w:val="22"/>
        </w:rPr>
        <w:t xml:space="preserve"> </w:t>
      </w:r>
      <w:r w:rsidR="00E57390" w:rsidRPr="00251A7C">
        <w:rPr>
          <w:rFonts w:asciiTheme="minorHAnsi" w:hAnsiTheme="minorHAnsi" w:cstheme="minorHAnsi"/>
          <w:sz w:val="22"/>
          <w:szCs w:val="22"/>
        </w:rPr>
        <w:t xml:space="preserve">Systematic review of 6 RCTs (n=508) compared short courses of antibiotics (7-8 days) </w:t>
      </w:r>
      <w:r w:rsidR="00F636BE" w:rsidRPr="00251A7C">
        <w:rPr>
          <w:rFonts w:asciiTheme="minorHAnsi" w:hAnsiTheme="minorHAnsi" w:cstheme="minorHAnsi"/>
          <w:sz w:val="22"/>
          <w:szCs w:val="22"/>
        </w:rPr>
        <w:t xml:space="preserve">to long courses (10-15 days). Majority of patients </w:t>
      </w:r>
      <w:r w:rsidR="00E57390" w:rsidRPr="00251A7C">
        <w:rPr>
          <w:rFonts w:asciiTheme="minorHAnsi" w:hAnsiTheme="minorHAnsi" w:cstheme="minorHAnsi"/>
          <w:sz w:val="22"/>
          <w:szCs w:val="22"/>
        </w:rPr>
        <w:t>had VAP</w:t>
      </w:r>
      <w:r w:rsidR="00F636BE" w:rsidRPr="00251A7C">
        <w:rPr>
          <w:rFonts w:asciiTheme="minorHAnsi" w:hAnsiTheme="minorHAnsi" w:cstheme="minorHAnsi"/>
          <w:sz w:val="22"/>
          <w:szCs w:val="22"/>
        </w:rPr>
        <w:t>.</w:t>
      </w:r>
    </w:p>
    <w:p w14:paraId="758772DA" w14:textId="63BE84F4" w:rsidR="00F636BE" w:rsidRPr="00251A7C" w:rsidRDefault="00F636BE">
      <w:pPr>
        <w:pStyle w:val="ListParagraph"/>
        <w:numPr>
          <w:ilvl w:val="1"/>
          <w:numId w:val="7"/>
        </w:numPr>
        <w:autoSpaceDE w:val="0"/>
        <w:autoSpaceDN w:val="0"/>
        <w:adjustRightInd w:val="0"/>
        <w:ind w:left="1134" w:hanging="283"/>
        <w:jc w:val="both"/>
        <w:rPr>
          <w:rFonts w:asciiTheme="minorHAnsi" w:hAnsiTheme="minorHAnsi" w:cstheme="minorHAnsi"/>
          <w:sz w:val="22"/>
          <w:szCs w:val="22"/>
        </w:rPr>
      </w:pPr>
      <w:r w:rsidRPr="00251A7C">
        <w:rPr>
          <w:rFonts w:asciiTheme="minorHAnsi" w:hAnsiTheme="minorHAnsi" w:cstheme="minorHAnsi"/>
          <w:sz w:val="22"/>
          <w:szCs w:val="22"/>
        </w:rPr>
        <w:t>28-day antibiotic-free days: Increased with s</w:t>
      </w:r>
      <w:r w:rsidR="00E57390" w:rsidRPr="00251A7C">
        <w:rPr>
          <w:rFonts w:asciiTheme="minorHAnsi" w:hAnsiTheme="minorHAnsi" w:cstheme="minorHAnsi"/>
          <w:sz w:val="22"/>
          <w:szCs w:val="22"/>
        </w:rPr>
        <w:t>hort courses of antibiotics</w:t>
      </w:r>
      <w:r w:rsidRPr="00251A7C">
        <w:rPr>
          <w:rFonts w:asciiTheme="minorHAnsi" w:hAnsiTheme="minorHAnsi" w:cstheme="minorHAnsi"/>
          <w:sz w:val="22"/>
          <w:szCs w:val="22"/>
        </w:rPr>
        <w:t xml:space="preserve"> - </w:t>
      </w:r>
      <w:r w:rsidR="00E57390" w:rsidRPr="00251A7C">
        <w:rPr>
          <w:rFonts w:asciiTheme="minorHAnsi" w:hAnsiTheme="minorHAnsi" w:cstheme="minorHAnsi"/>
          <w:sz w:val="22"/>
          <w:szCs w:val="22"/>
        </w:rPr>
        <w:t>mean difference, 4.02 days; 95% CI 2.26</w:t>
      </w:r>
      <w:r w:rsidRPr="00251A7C">
        <w:rPr>
          <w:rFonts w:asciiTheme="minorHAnsi" w:hAnsiTheme="minorHAnsi" w:cstheme="minorHAnsi"/>
          <w:sz w:val="22"/>
          <w:szCs w:val="22"/>
        </w:rPr>
        <w:t xml:space="preserve"> to </w:t>
      </w:r>
      <w:r w:rsidR="00E57390" w:rsidRPr="00251A7C">
        <w:rPr>
          <w:rFonts w:asciiTheme="minorHAnsi" w:hAnsiTheme="minorHAnsi" w:cstheme="minorHAnsi"/>
          <w:sz w:val="22"/>
          <w:szCs w:val="22"/>
        </w:rPr>
        <w:t>5.78 days</w:t>
      </w:r>
      <w:r w:rsidRPr="00251A7C">
        <w:rPr>
          <w:rFonts w:asciiTheme="minorHAnsi" w:hAnsiTheme="minorHAnsi" w:cstheme="minorHAnsi"/>
          <w:sz w:val="22"/>
          <w:szCs w:val="22"/>
        </w:rPr>
        <w:t>.</w:t>
      </w:r>
      <w:r w:rsidR="00E57390" w:rsidRPr="00251A7C">
        <w:rPr>
          <w:rFonts w:asciiTheme="minorHAnsi" w:hAnsiTheme="minorHAnsi" w:cstheme="minorHAnsi"/>
          <w:sz w:val="22"/>
          <w:szCs w:val="22"/>
        </w:rPr>
        <w:t xml:space="preserve"> </w:t>
      </w:r>
    </w:p>
    <w:p w14:paraId="00B37BDC" w14:textId="29D93097" w:rsidR="00F636BE" w:rsidRPr="00251A7C" w:rsidRDefault="00F636BE">
      <w:pPr>
        <w:pStyle w:val="ListParagraph"/>
        <w:numPr>
          <w:ilvl w:val="1"/>
          <w:numId w:val="7"/>
        </w:numPr>
        <w:autoSpaceDE w:val="0"/>
        <w:autoSpaceDN w:val="0"/>
        <w:adjustRightInd w:val="0"/>
        <w:ind w:left="1134" w:hanging="283"/>
        <w:jc w:val="both"/>
        <w:rPr>
          <w:rFonts w:asciiTheme="minorHAnsi" w:hAnsiTheme="minorHAnsi" w:cstheme="minorHAnsi"/>
          <w:sz w:val="22"/>
          <w:szCs w:val="22"/>
        </w:rPr>
      </w:pPr>
      <w:r w:rsidRPr="00251A7C">
        <w:rPr>
          <w:rFonts w:asciiTheme="minorHAnsi" w:hAnsiTheme="minorHAnsi" w:cstheme="minorHAnsi"/>
          <w:sz w:val="22"/>
          <w:szCs w:val="22"/>
        </w:rPr>
        <w:t>R</w:t>
      </w:r>
      <w:r w:rsidR="00E57390" w:rsidRPr="00251A7C">
        <w:rPr>
          <w:rFonts w:asciiTheme="minorHAnsi" w:hAnsiTheme="minorHAnsi" w:cstheme="minorHAnsi"/>
          <w:sz w:val="22"/>
          <w:szCs w:val="22"/>
        </w:rPr>
        <w:t>ecurrent VAP due to MDR pathogens</w:t>
      </w:r>
      <w:r w:rsidRPr="00251A7C">
        <w:rPr>
          <w:rFonts w:asciiTheme="minorHAnsi" w:hAnsiTheme="minorHAnsi" w:cstheme="minorHAnsi"/>
          <w:sz w:val="22"/>
          <w:szCs w:val="22"/>
        </w:rPr>
        <w:t>:</w:t>
      </w:r>
      <w:r w:rsidR="00E57390" w:rsidRPr="00251A7C">
        <w:rPr>
          <w:rFonts w:asciiTheme="minorHAnsi" w:hAnsiTheme="minorHAnsi" w:cstheme="minorHAnsi"/>
          <w:sz w:val="22"/>
          <w:szCs w:val="22"/>
        </w:rPr>
        <w:t xml:space="preserve">42.1% vs 62.3%; OR, 0.44; 95% CI </w:t>
      </w:r>
      <w:r w:rsidRPr="00251A7C">
        <w:rPr>
          <w:rFonts w:asciiTheme="minorHAnsi" w:hAnsiTheme="minorHAnsi" w:cstheme="minorHAnsi"/>
          <w:sz w:val="22"/>
          <w:szCs w:val="22"/>
        </w:rPr>
        <w:t>0</w:t>
      </w:r>
      <w:r w:rsidR="00E57390" w:rsidRPr="00251A7C">
        <w:rPr>
          <w:rFonts w:asciiTheme="minorHAnsi" w:hAnsiTheme="minorHAnsi" w:cstheme="minorHAnsi"/>
          <w:sz w:val="22"/>
          <w:szCs w:val="22"/>
        </w:rPr>
        <w:t>.21</w:t>
      </w:r>
      <w:r w:rsidRPr="00251A7C">
        <w:rPr>
          <w:rFonts w:asciiTheme="minorHAnsi" w:hAnsiTheme="minorHAnsi" w:cstheme="minorHAnsi"/>
          <w:sz w:val="22"/>
          <w:szCs w:val="22"/>
        </w:rPr>
        <w:t xml:space="preserve"> to 0</w:t>
      </w:r>
      <w:r w:rsidR="00E57390" w:rsidRPr="00251A7C">
        <w:rPr>
          <w:rFonts w:asciiTheme="minorHAnsi" w:hAnsiTheme="minorHAnsi" w:cstheme="minorHAnsi"/>
          <w:sz w:val="22"/>
          <w:szCs w:val="22"/>
        </w:rPr>
        <w:t xml:space="preserve">.95 </w:t>
      </w:r>
    </w:p>
    <w:p w14:paraId="1812E312" w14:textId="2F37953D" w:rsidR="00F636BE" w:rsidRPr="00251A7C" w:rsidRDefault="00F636BE">
      <w:pPr>
        <w:pStyle w:val="ListParagraph"/>
        <w:numPr>
          <w:ilvl w:val="1"/>
          <w:numId w:val="7"/>
        </w:numPr>
        <w:autoSpaceDE w:val="0"/>
        <w:autoSpaceDN w:val="0"/>
        <w:adjustRightInd w:val="0"/>
        <w:ind w:left="1134" w:hanging="283"/>
        <w:jc w:val="both"/>
        <w:rPr>
          <w:rFonts w:asciiTheme="minorHAnsi" w:hAnsiTheme="minorHAnsi" w:cstheme="minorHAnsi"/>
          <w:sz w:val="22"/>
          <w:szCs w:val="22"/>
        </w:rPr>
      </w:pPr>
      <w:r w:rsidRPr="00251A7C">
        <w:rPr>
          <w:rFonts w:asciiTheme="minorHAnsi" w:hAnsiTheme="minorHAnsi" w:cstheme="minorHAnsi"/>
          <w:sz w:val="22"/>
          <w:szCs w:val="22"/>
        </w:rPr>
        <w:t>M</w:t>
      </w:r>
      <w:r w:rsidR="00E57390" w:rsidRPr="00251A7C">
        <w:rPr>
          <w:rFonts w:asciiTheme="minorHAnsi" w:hAnsiTheme="minorHAnsi" w:cstheme="minorHAnsi"/>
          <w:sz w:val="22"/>
          <w:szCs w:val="22"/>
        </w:rPr>
        <w:t>ortality, recurrent pneumonia, treatment failure, hospital length of stay, or duration of mechanical ventilation</w:t>
      </w:r>
      <w:r w:rsidRPr="00251A7C">
        <w:rPr>
          <w:rFonts w:asciiTheme="minorHAnsi" w:hAnsiTheme="minorHAnsi" w:cstheme="minorHAnsi"/>
          <w:sz w:val="22"/>
          <w:szCs w:val="22"/>
        </w:rPr>
        <w:t>: no difference.</w:t>
      </w:r>
    </w:p>
    <w:p w14:paraId="0D2F73CF" w14:textId="28B53494" w:rsidR="00975AD0" w:rsidRPr="00251A7C" w:rsidRDefault="00E57390">
      <w:pPr>
        <w:pStyle w:val="ListParagraph"/>
        <w:numPr>
          <w:ilvl w:val="1"/>
          <w:numId w:val="7"/>
        </w:numPr>
        <w:autoSpaceDE w:val="0"/>
        <w:autoSpaceDN w:val="0"/>
        <w:adjustRightInd w:val="0"/>
        <w:ind w:left="1134" w:hanging="283"/>
        <w:jc w:val="both"/>
        <w:rPr>
          <w:rFonts w:asciiTheme="minorHAnsi" w:hAnsiTheme="minorHAnsi" w:cstheme="minorHAnsi"/>
          <w:sz w:val="22"/>
          <w:szCs w:val="22"/>
        </w:rPr>
      </w:pPr>
      <w:r w:rsidRPr="00251A7C">
        <w:rPr>
          <w:rFonts w:asciiTheme="minorHAnsi" w:hAnsiTheme="minorHAnsi" w:cstheme="minorHAnsi"/>
          <w:sz w:val="22"/>
          <w:szCs w:val="22"/>
        </w:rPr>
        <w:t>In the sub</w:t>
      </w:r>
      <w:r w:rsidR="00F636BE" w:rsidRPr="00251A7C">
        <w:rPr>
          <w:rFonts w:asciiTheme="minorHAnsi" w:hAnsiTheme="minorHAnsi" w:cstheme="minorHAnsi"/>
          <w:sz w:val="22"/>
          <w:szCs w:val="22"/>
        </w:rPr>
        <w:t>-</w:t>
      </w:r>
      <w:r w:rsidRPr="00251A7C">
        <w:rPr>
          <w:rFonts w:asciiTheme="minorHAnsi" w:hAnsiTheme="minorHAnsi" w:cstheme="minorHAnsi"/>
          <w:sz w:val="22"/>
          <w:szCs w:val="22"/>
        </w:rPr>
        <w:t xml:space="preserve">group of patients with VAP due to a non-glucose-fermenting gram-negative bacillus including </w:t>
      </w:r>
      <w:r w:rsidRPr="00251A7C">
        <w:rPr>
          <w:rFonts w:asciiTheme="minorHAnsi" w:hAnsiTheme="minorHAnsi" w:cstheme="minorHAnsi"/>
          <w:i/>
          <w:iCs/>
          <w:sz w:val="22"/>
          <w:szCs w:val="22"/>
        </w:rPr>
        <w:t xml:space="preserve">Pseudomonas </w:t>
      </w:r>
      <w:r w:rsidRPr="00251A7C">
        <w:rPr>
          <w:rFonts w:asciiTheme="minorHAnsi" w:hAnsiTheme="minorHAnsi" w:cstheme="minorHAnsi"/>
          <w:sz w:val="22"/>
          <w:szCs w:val="22"/>
        </w:rPr>
        <w:t xml:space="preserve">and </w:t>
      </w:r>
      <w:r w:rsidRPr="00251A7C">
        <w:rPr>
          <w:rFonts w:asciiTheme="minorHAnsi" w:hAnsiTheme="minorHAnsi" w:cstheme="minorHAnsi"/>
          <w:i/>
          <w:iCs/>
          <w:sz w:val="22"/>
          <w:szCs w:val="22"/>
        </w:rPr>
        <w:t>Acinetobacter</w:t>
      </w:r>
      <w:r w:rsidRPr="00251A7C">
        <w:rPr>
          <w:rFonts w:asciiTheme="minorHAnsi" w:hAnsiTheme="minorHAnsi" w:cstheme="minorHAnsi"/>
          <w:sz w:val="22"/>
          <w:szCs w:val="22"/>
        </w:rPr>
        <w:t xml:space="preserve"> (33% of patients), short courses of antibiotics were associated with recurrent infection (OR 2.18; 95% CI, 1.14</w:t>
      </w:r>
      <w:r w:rsidR="00F636BE" w:rsidRPr="00251A7C">
        <w:rPr>
          <w:rFonts w:asciiTheme="minorHAnsi" w:hAnsiTheme="minorHAnsi" w:cstheme="minorHAnsi"/>
          <w:sz w:val="22"/>
          <w:szCs w:val="22"/>
        </w:rPr>
        <w:t xml:space="preserve"> to </w:t>
      </w:r>
      <w:r w:rsidRPr="00251A7C">
        <w:rPr>
          <w:rFonts w:asciiTheme="minorHAnsi" w:hAnsiTheme="minorHAnsi" w:cstheme="minorHAnsi"/>
          <w:sz w:val="22"/>
          <w:szCs w:val="22"/>
        </w:rPr>
        <w:t>4.16)</w:t>
      </w:r>
      <w:r w:rsidR="00E02887" w:rsidRPr="00251A7C">
        <w:rPr>
          <w:rFonts w:asciiTheme="minorHAnsi" w:hAnsiTheme="minorHAnsi" w:cstheme="minorHAnsi"/>
          <w:sz w:val="22"/>
          <w:szCs w:val="22"/>
        </w:rPr>
        <w:t>,</w:t>
      </w:r>
      <w:r w:rsidRPr="00251A7C">
        <w:rPr>
          <w:rFonts w:asciiTheme="minorHAnsi" w:hAnsiTheme="minorHAnsi" w:cstheme="minorHAnsi"/>
          <w:sz w:val="22"/>
          <w:szCs w:val="22"/>
        </w:rPr>
        <w:t xml:space="preserve"> but no other differences</w:t>
      </w:r>
      <w:r w:rsidR="00E02887" w:rsidRPr="00251A7C">
        <w:rPr>
          <w:rFonts w:asciiTheme="minorHAnsi" w:hAnsiTheme="minorHAnsi" w:cstheme="minorHAnsi"/>
          <w:sz w:val="22"/>
          <w:szCs w:val="22"/>
        </w:rPr>
        <w:t xml:space="preserve"> were observed for pneumonia recurrence or mortality.</w:t>
      </w:r>
    </w:p>
    <w:p w14:paraId="4AAED068" w14:textId="77777777" w:rsidR="00DC25FA" w:rsidRPr="00251A7C" w:rsidRDefault="00DC25FA" w:rsidP="00DC25FA">
      <w:pPr>
        <w:pStyle w:val="ListParagraph"/>
        <w:autoSpaceDE w:val="0"/>
        <w:autoSpaceDN w:val="0"/>
        <w:adjustRightInd w:val="0"/>
        <w:ind w:left="1134"/>
        <w:jc w:val="both"/>
        <w:rPr>
          <w:rFonts w:asciiTheme="minorHAnsi" w:hAnsiTheme="minorHAnsi" w:cstheme="minorHAnsi"/>
          <w:sz w:val="22"/>
          <w:szCs w:val="22"/>
        </w:rPr>
      </w:pPr>
    </w:p>
    <w:p w14:paraId="689A24A7" w14:textId="7D0C7C81" w:rsidR="00FC7274" w:rsidRPr="00251A7C" w:rsidRDefault="00E57390">
      <w:pPr>
        <w:pStyle w:val="ListParagraph"/>
        <w:numPr>
          <w:ilvl w:val="0"/>
          <w:numId w:val="7"/>
        </w:numPr>
        <w:autoSpaceDE w:val="0"/>
        <w:autoSpaceDN w:val="0"/>
        <w:adjustRightInd w:val="0"/>
        <w:ind w:left="851" w:hanging="284"/>
        <w:jc w:val="both"/>
        <w:rPr>
          <w:rFonts w:asciiTheme="minorHAnsi" w:hAnsiTheme="minorHAnsi" w:cstheme="minorHAnsi"/>
          <w:sz w:val="22"/>
          <w:szCs w:val="22"/>
        </w:rPr>
      </w:pPr>
      <w:r w:rsidRPr="00251A7C">
        <w:rPr>
          <w:rFonts w:asciiTheme="minorHAnsi" w:hAnsiTheme="minorHAnsi" w:cstheme="minorHAnsi"/>
          <w:i/>
          <w:iCs/>
          <w:sz w:val="22"/>
          <w:szCs w:val="22"/>
        </w:rPr>
        <w:t>Dimopoulos et al (2013)</w:t>
      </w:r>
      <w:r w:rsidR="000D7ED2" w:rsidRPr="00251A7C">
        <w:rPr>
          <w:rStyle w:val="FootnoteReference"/>
          <w:rFonts w:asciiTheme="minorHAnsi" w:hAnsiTheme="minorHAnsi" w:cstheme="minorHAnsi"/>
          <w:i/>
          <w:iCs/>
          <w:sz w:val="22"/>
          <w:szCs w:val="22"/>
        </w:rPr>
        <w:footnoteReference w:id="3"/>
      </w:r>
      <w:r w:rsidRPr="00251A7C">
        <w:rPr>
          <w:rFonts w:asciiTheme="minorHAnsi" w:hAnsiTheme="minorHAnsi" w:cstheme="minorHAnsi"/>
          <w:i/>
          <w:iCs/>
          <w:sz w:val="22"/>
          <w:szCs w:val="22"/>
        </w:rPr>
        <w:t>:</w:t>
      </w:r>
      <w:r w:rsidR="00F636BE" w:rsidRPr="00251A7C">
        <w:rPr>
          <w:rFonts w:asciiTheme="minorHAnsi" w:hAnsiTheme="minorHAnsi" w:cstheme="minorHAnsi"/>
          <w:sz w:val="22"/>
          <w:szCs w:val="22"/>
        </w:rPr>
        <w:t xml:space="preserve"> Systematic review of 4 RCTs (n</w:t>
      </w:r>
      <w:r w:rsidR="00FC7274" w:rsidRPr="00251A7C">
        <w:rPr>
          <w:rFonts w:asciiTheme="minorHAnsi" w:hAnsiTheme="minorHAnsi" w:cstheme="minorHAnsi"/>
          <w:sz w:val="22"/>
          <w:szCs w:val="22"/>
        </w:rPr>
        <w:t xml:space="preserve">=883) comparing short courses of antibiotics (7-8 days) to long courses (10-15 days) amongst patients with VAP.  </w:t>
      </w:r>
      <w:r w:rsidR="00F636BE" w:rsidRPr="00251A7C">
        <w:rPr>
          <w:rFonts w:asciiTheme="minorHAnsi" w:hAnsiTheme="minorHAnsi" w:cstheme="minorHAnsi"/>
          <w:sz w:val="22"/>
          <w:szCs w:val="22"/>
        </w:rPr>
        <w:t xml:space="preserve"> </w:t>
      </w:r>
    </w:p>
    <w:p w14:paraId="498F27BC" w14:textId="48E9230D" w:rsidR="00FC7274" w:rsidRPr="00251A7C" w:rsidRDefault="00FC7274">
      <w:pPr>
        <w:pStyle w:val="ListParagraph"/>
        <w:numPr>
          <w:ilvl w:val="1"/>
          <w:numId w:val="7"/>
        </w:numPr>
        <w:autoSpaceDE w:val="0"/>
        <w:autoSpaceDN w:val="0"/>
        <w:adjustRightInd w:val="0"/>
        <w:ind w:left="1134" w:hanging="283"/>
        <w:jc w:val="both"/>
        <w:rPr>
          <w:rFonts w:asciiTheme="minorHAnsi" w:hAnsiTheme="minorHAnsi" w:cstheme="minorHAnsi"/>
          <w:sz w:val="22"/>
          <w:szCs w:val="22"/>
        </w:rPr>
      </w:pPr>
      <w:r w:rsidRPr="00251A7C">
        <w:rPr>
          <w:rFonts w:asciiTheme="minorHAnsi" w:hAnsiTheme="minorHAnsi" w:cstheme="minorHAnsi"/>
          <w:sz w:val="22"/>
          <w:szCs w:val="22"/>
        </w:rPr>
        <w:t>28-day antibiotic-free days: Increased with short courses of antibiotics - mean difference</w:t>
      </w:r>
      <w:r w:rsidR="00F83978" w:rsidRPr="00251A7C">
        <w:rPr>
          <w:rFonts w:asciiTheme="minorHAnsi" w:hAnsiTheme="minorHAnsi" w:cstheme="minorHAnsi"/>
          <w:sz w:val="22"/>
          <w:szCs w:val="22"/>
        </w:rPr>
        <w:t>3.40 days: 95% CI 1.43 to 5.37 days.</w:t>
      </w:r>
    </w:p>
    <w:p w14:paraId="1677EAAF" w14:textId="3E4AA07B" w:rsidR="00F636BE" w:rsidRPr="00251A7C" w:rsidRDefault="00FC7274">
      <w:pPr>
        <w:pStyle w:val="ListParagraph"/>
        <w:numPr>
          <w:ilvl w:val="1"/>
          <w:numId w:val="7"/>
        </w:numPr>
        <w:autoSpaceDE w:val="0"/>
        <w:autoSpaceDN w:val="0"/>
        <w:adjustRightInd w:val="0"/>
        <w:ind w:left="1134" w:hanging="283"/>
        <w:jc w:val="both"/>
        <w:rPr>
          <w:rFonts w:asciiTheme="minorHAnsi" w:hAnsiTheme="minorHAnsi" w:cstheme="minorHAnsi"/>
          <w:sz w:val="22"/>
          <w:szCs w:val="22"/>
        </w:rPr>
      </w:pPr>
      <w:r w:rsidRPr="00251A7C">
        <w:rPr>
          <w:rFonts w:asciiTheme="minorHAnsi" w:hAnsiTheme="minorHAnsi" w:cstheme="minorHAnsi"/>
          <w:sz w:val="22"/>
          <w:szCs w:val="22"/>
        </w:rPr>
        <w:t>M</w:t>
      </w:r>
      <w:r w:rsidR="00F636BE" w:rsidRPr="00251A7C">
        <w:rPr>
          <w:rFonts w:asciiTheme="minorHAnsi" w:hAnsiTheme="minorHAnsi" w:cstheme="minorHAnsi"/>
          <w:sz w:val="22"/>
          <w:szCs w:val="22"/>
        </w:rPr>
        <w:t>ortality, recurrent pneumonia, ventilator-free days, duration of mechanical ventilation, or length of ICU stay</w:t>
      </w:r>
      <w:r w:rsidRPr="00251A7C">
        <w:rPr>
          <w:rFonts w:asciiTheme="minorHAnsi" w:hAnsiTheme="minorHAnsi" w:cstheme="minorHAnsi"/>
          <w:sz w:val="22"/>
          <w:szCs w:val="22"/>
        </w:rPr>
        <w:t>: no difference</w:t>
      </w:r>
      <w:r w:rsidR="00F636BE" w:rsidRPr="00251A7C">
        <w:rPr>
          <w:rFonts w:asciiTheme="minorHAnsi" w:hAnsiTheme="minorHAnsi" w:cstheme="minorHAnsi"/>
          <w:sz w:val="22"/>
          <w:szCs w:val="22"/>
        </w:rPr>
        <w:t>.</w:t>
      </w:r>
    </w:p>
    <w:p w14:paraId="4FFB659A" w14:textId="77777777" w:rsidR="00DC25FA" w:rsidRPr="00251A7C" w:rsidRDefault="00DC25FA" w:rsidP="00DC25FA">
      <w:pPr>
        <w:pStyle w:val="ListParagraph"/>
        <w:autoSpaceDE w:val="0"/>
        <w:autoSpaceDN w:val="0"/>
        <w:adjustRightInd w:val="0"/>
        <w:ind w:left="1134"/>
        <w:jc w:val="both"/>
        <w:rPr>
          <w:rFonts w:asciiTheme="minorHAnsi" w:hAnsiTheme="minorHAnsi" w:cstheme="minorHAnsi"/>
          <w:sz w:val="22"/>
          <w:szCs w:val="22"/>
        </w:rPr>
      </w:pPr>
    </w:p>
    <w:p w14:paraId="4A127DB5" w14:textId="6D66C34A" w:rsidR="00E57390" w:rsidRPr="00251A7C" w:rsidRDefault="00FC7274">
      <w:pPr>
        <w:pStyle w:val="ListParagraph"/>
        <w:numPr>
          <w:ilvl w:val="0"/>
          <w:numId w:val="7"/>
        </w:numPr>
        <w:autoSpaceDE w:val="0"/>
        <w:autoSpaceDN w:val="0"/>
        <w:adjustRightInd w:val="0"/>
        <w:ind w:left="851" w:hanging="284"/>
        <w:jc w:val="both"/>
        <w:rPr>
          <w:rFonts w:asciiTheme="minorHAnsi" w:hAnsiTheme="minorHAnsi" w:cstheme="minorHAnsi"/>
          <w:sz w:val="22"/>
          <w:szCs w:val="22"/>
        </w:rPr>
      </w:pPr>
      <w:r w:rsidRPr="00251A7C">
        <w:rPr>
          <w:rFonts w:asciiTheme="minorHAnsi" w:hAnsiTheme="minorHAnsi" w:cstheme="minorHAnsi"/>
          <w:sz w:val="22"/>
          <w:szCs w:val="22"/>
        </w:rPr>
        <w:t>IDSA</w:t>
      </w:r>
      <w:r w:rsidR="00DC25FA" w:rsidRPr="00251A7C">
        <w:rPr>
          <w:rFonts w:asciiTheme="minorHAnsi" w:hAnsiTheme="minorHAnsi" w:cstheme="minorHAnsi"/>
          <w:sz w:val="22"/>
          <w:szCs w:val="22"/>
        </w:rPr>
        <w:t>/ATS</w:t>
      </w:r>
      <w:r w:rsidRPr="00251A7C">
        <w:rPr>
          <w:rFonts w:asciiTheme="minorHAnsi" w:hAnsiTheme="minorHAnsi" w:cstheme="minorHAnsi"/>
          <w:sz w:val="22"/>
          <w:szCs w:val="22"/>
        </w:rPr>
        <w:t xml:space="preserve"> Guideline panel’s confidence in the results was moderate as many of the RCTs in the systematic reviews  had moderate risk of bias  - </w:t>
      </w:r>
      <w:r w:rsidR="00E02887" w:rsidRPr="00251A7C">
        <w:rPr>
          <w:rFonts w:asciiTheme="minorHAnsi" w:hAnsiTheme="minorHAnsi" w:cstheme="minorHAnsi"/>
          <w:sz w:val="22"/>
          <w:szCs w:val="22"/>
        </w:rPr>
        <w:t xml:space="preserve">most RCTs were </w:t>
      </w:r>
      <w:r w:rsidRPr="00251A7C">
        <w:rPr>
          <w:rFonts w:asciiTheme="minorHAnsi" w:hAnsiTheme="minorHAnsi" w:cstheme="minorHAnsi"/>
          <w:sz w:val="22"/>
          <w:szCs w:val="22"/>
        </w:rPr>
        <w:t>not blinded, recurrence was measured at 30 days (recurrence more likely to occur in short-course antibiotics RCTs</w:t>
      </w:r>
      <w:r w:rsidR="00E02887" w:rsidRPr="00251A7C">
        <w:rPr>
          <w:rFonts w:asciiTheme="minorHAnsi" w:hAnsiTheme="minorHAnsi" w:cstheme="minorHAnsi"/>
          <w:sz w:val="22"/>
          <w:szCs w:val="22"/>
        </w:rPr>
        <w:t xml:space="preserve">) and there was </w:t>
      </w:r>
      <w:r w:rsidRPr="00251A7C">
        <w:rPr>
          <w:rFonts w:asciiTheme="minorHAnsi" w:hAnsiTheme="minorHAnsi" w:cstheme="minorHAnsi"/>
          <w:sz w:val="22"/>
          <w:szCs w:val="22"/>
        </w:rPr>
        <w:t>indirectness</w:t>
      </w:r>
      <w:r w:rsidR="00E02887" w:rsidRPr="00251A7C">
        <w:rPr>
          <w:rFonts w:asciiTheme="minorHAnsi" w:hAnsiTheme="minorHAnsi" w:cstheme="minorHAnsi"/>
          <w:sz w:val="22"/>
          <w:szCs w:val="22"/>
        </w:rPr>
        <w:t xml:space="preserve"> as </w:t>
      </w:r>
      <w:r w:rsidRPr="00251A7C">
        <w:rPr>
          <w:rFonts w:asciiTheme="minorHAnsi" w:hAnsiTheme="minorHAnsi" w:cstheme="minorHAnsi"/>
          <w:sz w:val="22"/>
          <w:szCs w:val="22"/>
        </w:rPr>
        <w:t>the largest trial excluded patients with early VAP.</w:t>
      </w:r>
    </w:p>
    <w:p w14:paraId="78BD752F" w14:textId="77777777" w:rsidR="00DC25FA" w:rsidRPr="00251A7C" w:rsidRDefault="00DC25FA" w:rsidP="00DC25FA">
      <w:pPr>
        <w:pStyle w:val="ListParagraph"/>
        <w:autoSpaceDE w:val="0"/>
        <w:autoSpaceDN w:val="0"/>
        <w:adjustRightInd w:val="0"/>
        <w:ind w:left="851"/>
        <w:jc w:val="both"/>
        <w:rPr>
          <w:rFonts w:asciiTheme="minorHAnsi" w:hAnsiTheme="minorHAnsi" w:cstheme="minorHAnsi"/>
          <w:sz w:val="22"/>
          <w:szCs w:val="22"/>
        </w:rPr>
      </w:pPr>
    </w:p>
    <w:p w14:paraId="71D0F6DE" w14:textId="3DAD5C2A" w:rsidR="00F83978" w:rsidRPr="00251A7C" w:rsidRDefault="00DC25FA" w:rsidP="000D7ED2">
      <w:pPr>
        <w:pStyle w:val="ListParagraph"/>
        <w:autoSpaceDE w:val="0"/>
        <w:autoSpaceDN w:val="0"/>
        <w:adjustRightInd w:val="0"/>
        <w:ind w:left="567"/>
        <w:jc w:val="both"/>
        <w:rPr>
          <w:rFonts w:asciiTheme="minorHAnsi" w:hAnsiTheme="minorHAnsi" w:cstheme="minorHAnsi"/>
          <w:sz w:val="22"/>
          <w:szCs w:val="22"/>
        </w:rPr>
      </w:pPr>
      <w:r w:rsidRPr="00251A7C">
        <w:rPr>
          <w:rFonts w:asciiTheme="minorHAnsi" w:hAnsiTheme="minorHAnsi" w:cstheme="minorHAnsi"/>
          <w:b/>
          <w:bCs/>
          <w:sz w:val="22"/>
          <w:szCs w:val="22"/>
        </w:rPr>
        <w:lastRenderedPageBreak/>
        <w:t>Recommendation:</w:t>
      </w:r>
      <w:r w:rsidRPr="00251A7C">
        <w:rPr>
          <w:rFonts w:asciiTheme="minorHAnsi" w:hAnsiTheme="minorHAnsi" w:cstheme="minorHAnsi"/>
          <w:sz w:val="22"/>
          <w:szCs w:val="22"/>
        </w:rPr>
        <w:t xml:space="preserve"> </w:t>
      </w:r>
      <w:r w:rsidR="00F83978" w:rsidRPr="00251A7C">
        <w:rPr>
          <w:rFonts w:asciiTheme="minorHAnsi" w:hAnsiTheme="minorHAnsi" w:cstheme="minorHAnsi"/>
          <w:sz w:val="22"/>
          <w:szCs w:val="22"/>
        </w:rPr>
        <w:t xml:space="preserve">The </w:t>
      </w:r>
      <w:r w:rsidRPr="00251A7C">
        <w:rPr>
          <w:rFonts w:asciiTheme="minorHAnsi" w:hAnsiTheme="minorHAnsi" w:cstheme="minorHAnsi"/>
          <w:sz w:val="22"/>
          <w:szCs w:val="22"/>
        </w:rPr>
        <w:t xml:space="preserve">IDSA/ATS </w:t>
      </w:r>
      <w:r w:rsidR="00F83978" w:rsidRPr="00251A7C">
        <w:rPr>
          <w:rFonts w:asciiTheme="minorHAnsi" w:hAnsiTheme="minorHAnsi" w:cstheme="minorHAnsi"/>
          <w:sz w:val="22"/>
          <w:szCs w:val="22"/>
        </w:rPr>
        <w:t xml:space="preserve">panel concluded that the evidence indicates that short courses of antibiotics reduce antibiotic exposure and recurrent pneumonia due to MDR organisms and </w:t>
      </w:r>
      <w:r w:rsidRPr="00251A7C">
        <w:rPr>
          <w:rFonts w:asciiTheme="minorHAnsi" w:hAnsiTheme="minorHAnsi" w:cstheme="minorHAnsi"/>
          <w:sz w:val="22"/>
          <w:szCs w:val="22"/>
        </w:rPr>
        <w:t>IDSA recommends a 7-day antibiotic course for VAP</w:t>
      </w:r>
      <w:r w:rsidR="000D7ED2" w:rsidRPr="00251A7C">
        <w:rPr>
          <w:rFonts w:asciiTheme="minorHAnsi" w:hAnsiTheme="minorHAnsi" w:cstheme="minorHAnsi"/>
          <w:sz w:val="22"/>
          <w:szCs w:val="22"/>
        </w:rPr>
        <w:t xml:space="preserve"> (strong recommendation)</w:t>
      </w:r>
      <w:r w:rsidRPr="00251A7C">
        <w:rPr>
          <w:rFonts w:asciiTheme="minorHAnsi" w:hAnsiTheme="minorHAnsi" w:cstheme="minorHAnsi"/>
          <w:sz w:val="22"/>
          <w:szCs w:val="22"/>
        </w:rPr>
        <w:t>.</w:t>
      </w:r>
    </w:p>
    <w:p w14:paraId="1C4E7CD3" w14:textId="7E18BE24" w:rsidR="00975AD0" w:rsidRPr="00251A7C" w:rsidRDefault="00F83978" w:rsidP="000D7ED2">
      <w:pPr>
        <w:pStyle w:val="ListParagraph"/>
        <w:autoSpaceDE w:val="0"/>
        <w:autoSpaceDN w:val="0"/>
        <w:adjustRightInd w:val="0"/>
        <w:ind w:left="567"/>
        <w:jc w:val="both"/>
        <w:rPr>
          <w:rFonts w:asciiTheme="minorHAnsi" w:hAnsiTheme="minorHAnsi" w:cstheme="minorHAnsi"/>
          <w:b/>
          <w:bCs/>
          <w:i/>
          <w:iCs/>
          <w:sz w:val="22"/>
          <w:szCs w:val="22"/>
        </w:rPr>
      </w:pPr>
      <w:r w:rsidRPr="00251A7C">
        <w:rPr>
          <w:rFonts w:asciiTheme="minorHAnsi" w:hAnsiTheme="minorHAnsi" w:cstheme="minorHAnsi"/>
          <w:b/>
          <w:bCs/>
          <w:sz w:val="22"/>
          <w:szCs w:val="22"/>
        </w:rPr>
        <w:t>Level</w:t>
      </w:r>
      <w:r w:rsidR="000D7ED2" w:rsidRPr="00251A7C">
        <w:rPr>
          <w:rFonts w:asciiTheme="minorHAnsi" w:hAnsiTheme="minorHAnsi" w:cstheme="minorHAnsi"/>
          <w:b/>
          <w:bCs/>
          <w:sz w:val="22"/>
          <w:szCs w:val="22"/>
        </w:rPr>
        <w:t xml:space="preserve"> </w:t>
      </w:r>
      <w:r w:rsidRPr="00251A7C">
        <w:rPr>
          <w:rFonts w:asciiTheme="minorHAnsi" w:hAnsiTheme="minorHAnsi" w:cstheme="minorHAnsi"/>
          <w:b/>
          <w:bCs/>
          <w:sz w:val="22"/>
          <w:szCs w:val="22"/>
        </w:rPr>
        <w:t>of Evidence: Moderate</w:t>
      </w:r>
      <w:r w:rsidR="00DC25FA" w:rsidRPr="00251A7C">
        <w:rPr>
          <w:rFonts w:asciiTheme="minorHAnsi" w:hAnsiTheme="minorHAnsi" w:cstheme="minorHAnsi"/>
          <w:b/>
          <w:bCs/>
          <w:sz w:val="22"/>
          <w:szCs w:val="22"/>
        </w:rPr>
        <w:t xml:space="preserve"> certainty</w:t>
      </w:r>
      <w:r w:rsidRPr="00251A7C">
        <w:rPr>
          <w:rFonts w:asciiTheme="minorHAnsi" w:hAnsiTheme="minorHAnsi" w:cstheme="minorHAnsi"/>
          <w:b/>
          <w:bCs/>
          <w:sz w:val="22"/>
          <w:szCs w:val="22"/>
        </w:rPr>
        <w:t xml:space="preserve"> evidence</w:t>
      </w:r>
      <w:r w:rsidR="00E8516F" w:rsidRPr="00251A7C">
        <w:rPr>
          <w:rFonts w:asciiTheme="minorHAnsi" w:hAnsiTheme="minorHAnsi" w:cstheme="minorHAnsi"/>
          <w:b/>
          <w:bCs/>
          <w:sz w:val="22"/>
          <w:szCs w:val="22"/>
        </w:rPr>
        <w:t xml:space="preserve">, strong </w:t>
      </w:r>
      <w:r w:rsidR="00C011B2" w:rsidRPr="00251A7C">
        <w:rPr>
          <w:rFonts w:asciiTheme="minorHAnsi" w:hAnsiTheme="minorHAnsi" w:cstheme="minorHAnsi"/>
          <w:b/>
          <w:bCs/>
          <w:sz w:val="22"/>
          <w:szCs w:val="22"/>
        </w:rPr>
        <w:t>recommendation</w:t>
      </w:r>
    </w:p>
    <w:p w14:paraId="554E206C" w14:textId="77777777" w:rsidR="00F83978" w:rsidRPr="00251A7C" w:rsidRDefault="00F83978" w:rsidP="000D7ED2">
      <w:pPr>
        <w:pStyle w:val="ListParagraph"/>
        <w:autoSpaceDE w:val="0"/>
        <w:autoSpaceDN w:val="0"/>
        <w:adjustRightInd w:val="0"/>
        <w:ind w:left="567"/>
        <w:jc w:val="both"/>
        <w:rPr>
          <w:rFonts w:asciiTheme="minorHAnsi" w:hAnsiTheme="minorHAnsi" w:cstheme="minorHAnsi"/>
          <w:sz w:val="22"/>
          <w:szCs w:val="22"/>
        </w:rPr>
      </w:pPr>
    </w:p>
    <w:p w14:paraId="5C6C1EA9" w14:textId="6F307623" w:rsidR="000D7ED2" w:rsidRPr="00251A7C" w:rsidRDefault="00F83978">
      <w:pPr>
        <w:pStyle w:val="ListParagraph"/>
        <w:numPr>
          <w:ilvl w:val="0"/>
          <w:numId w:val="6"/>
        </w:numPr>
        <w:autoSpaceDE w:val="0"/>
        <w:autoSpaceDN w:val="0"/>
        <w:adjustRightInd w:val="0"/>
        <w:ind w:left="567" w:hanging="283"/>
        <w:jc w:val="both"/>
        <w:rPr>
          <w:rFonts w:asciiTheme="minorHAnsi" w:hAnsiTheme="minorHAnsi" w:cstheme="minorHAnsi"/>
          <w:sz w:val="22"/>
          <w:szCs w:val="22"/>
        </w:rPr>
      </w:pPr>
      <w:r w:rsidRPr="00251A7C">
        <w:rPr>
          <w:rFonts w:asciiTheme="minorHAnsi" w:hAnsiTheme="minorHAnsi" w:cstheme="minorHAnsi"/>
          <w:b/>
          <w:bCs/>
          <w:i/>
          <w:iCs/>
          <w:sz w:val="22"/>
          <w:szCs w:val="22"/>
        </w:rPr>
        <w:t>Hospital-acquired pneumonia</w:t>
      </w:r>
      <w:r w:rsidRPr="00251A7C">
        <w:rPr>
          <w:rFonts w:asciiTheme="minorHAnsi" w:hAnsiTheme="minorHAnsi" w:cstheme="minorHAnsi"/>
          <w:i/>
          <w:iCs/>
          <w:spacing w:val="-4"/>
          <w:sz w:val="22"/>
          <w:szCs w:val="22"/>
        </w:rPr>
        <w:t xml:space="preserve"> (non-VAP)</w:t>
      </w:r>
      <w:r w:rsidR="00975AD0" w:rsidRPr="00251A7C">
        <w:rPr>
          <w:rFonts w:asciiTheme="minorHAnsi" w:hAnsiTheme="minorHAnsi" w:cstheme="minorHAnsi"/>
          <w:i/>
          <w:iCs/>
          <w:spacing w:val="-4"/>
          <w:sz w:val="22"/>
          <w:szCs w:val="22"/>
        </w:rPr>
        <w:t xml:space="preserve">: </w:t>
      </w:r>
      <w:r w:rsidR="00DC25FA" w:rsidRPr="00251A7C">
        <w:rPr>
          <w:rFonts w:asciiTheme="minorHAnsi" w:hAnsiTheme="minorHAnsi" w:cstheme="minorHAnsi"/>
          <w:sz w:val="22"/>
          <w:szCs w:val="22"/>
        </w:rPr>
        <w:t>The IDSA/ATS guideline panel found no studies that provided useful data for comparing short-term to long-term antibiotic therapy in HAP; however, the duration of therapy has been studied in VAP – see above. Thus, guidance was extrapolated from evidence from VAP</w:t>
      </w:r>
      <w:r w:rsidR="000D7ED2" w:rsidRPr="00251A7C">
        <w:rPr>
          <w:rFonts w:asciiTheme="minorHAnsi" w:hAnsiTheme="minorHAnsi" w:cstheme="minorHAnsi"/>
          <w:sz w:val="22"/>
          <w:szCs w:val="22"/>
        </w:rPr>
        <w:t>;</w:t>
      </w:r>
      <w:r w:rsidR="00DC25FA" w:rsidRPr="00251A7C">
        <w:rPr>
          <w:rFonts w:asciiTheme="minorHAnsi" w:hAnsiTheme="minorHAnsi" w:cstheme="minorHAnsi"/>
          <w:sz w:val="22"/>
          <w:szCs w:val="22"/>
        </w:rPr>
        <w:t xml:space="preserve"> noting that </w:t>
      </w:r>
      <w:r w:rsidR="000D7ED2" w:rsidRPr="00251A7C">
        <w:rPr>
          <w:rFonts w:asciiTheme="minorHAnsi" w:hAnsiTheme="minorHAnsi" w:cstheme="minorHAnsi"/>
          <w:sz w:val="22"/>
          <w:szCs w:val="22"/>
        </w:rPr>
        <w:t xml:space="preserve">shorter antibiotic course results in reduced antibiotic-related side effects, </w:t>
      </w:r>
      <w:r w:rsidR="000D7ED2" w:rsidRPr="00251A7C">
        <w:rPr>
          <w:rFonts w:asciiTheme="minorHAnsi" w:hAnsiTheme="minorHAnsi" w:cstheme="minorHAnsi"/>
          <w:i/>
          <w:iCs/>
          <w:sz w:val="22"/>
          <w:szCs w:val="22"/>
        </w:rPr>
        <w:t>C. difficile</w:t>
      </w:r>
      <w:r w:rsidR="000D7ED2" w:rsidRPr="00251A7C">
        <w:rPr>
          <w:rFonts w:asciiTheme="minorHAnsi" w:hAnsiTheme="minorHAnsi" w:cstheme="minorHAnsi"/>
          <w:sz w:val="22"/>
          <w:szCs w:val="22"/>
        </w:rPr>
        <w:t xml:space="preserve"> colitis, the potential for antibiotic resistance, and costs (strong recommendation). The importance of avoiding therapies that are potentially harmful and costly if there is no evidence of benefit was highlighted.</w:t>
      </w:r>
    </w:p>
    <w:p w14:paraId="0E016E98" w14:textId="0324F4ED" w:rsidR="000D7ED2" w:rsidRPr="00251A7C" w:rsidRDefault="000D7ED2" w:rsidP="000D7ED2">
      <w:pPr>
        <w:autoSpaceDE w:val="0"/>
        <w:autoSpaceDN w:val="0"/>
        <w:adjustRightInd w:val="0"/>
        <w:spacing w:after="0" w:line="240" w:lineRule="auto"/>
        <w:ind w:left="567"/>
        <w:jc w:val="both"/>
        <w:rPr>
          <w:rFonts w:asciiTheme="minorHAnsi" w:hAnsiTheme="minorHAnsi" w:cstheme="minorHAnsi"/>
          <w:b/>
          <w:bCs/>
          <w:i/>
          <w:iCs/>
          <w:lang w:val="en-GB"/>
        </w:rPr>
      </w:pPr>
      <w:r w:rsidRPr="00251A7C">
        <w:rPr>
          <w:rFonts w:asciiTheme="minorHAnsi" w:hAnsiTheme="minorHAnsi" w:cstheme="minorHAnsi"/>
          <w:b/>
          <w:bCs/>
          <w:lang w:val="en-GB"/>
        </w:rPr>
        <w:t>Level of Evidence: Low certainty evidence</w:t>
      </w:r>
      <w:r w:rsidR="00E8516F" w:rsidRPr="00251A7C">
        <w:rPr>
          <w:rFonts w:asciiTheme="minorHAnsi" w:hAnsiTheme="minorHAnsi" w:cstheme="minorHAnsi"/>
          <w:b/>
          <w:bCs/>
          <w:lang w:val="en-GB"/>
        </w:rPr>
        <w:t xml:space="preserve">, strong </w:t>
      </w:r>
      <w:r w:rsidR="00C011B2" w:rsidRPr="00251A7C">
        <w:rPr>
          <w:rFonts w:asciiTheme="minorHAnsi" w:hAnsiTheme="minorHAnsi" w:cstheme="minorHAnsi"/>
          <w:b/>
          <w:bCs/>
          <w:lang w:val="en-GB"/>
        </w:rPr>
        <w:t>recommendation</w:t>
      </w:r>
    </w:p>
    <w:p w14:paraId="6C8BB72E" w14:textId="7E3D7BE1" w:rsidR="00734D13" w:rsidRPr="00251A7C" w:rsidRDefault="00734D13" w:rsidP="000D7ED2">
      <w:pPr>
        <w:pStyle w:val="ListParagraph"/>
        <w:autoSpaceDE w:val="0"/>
        <w:autoSpaceDN w:val="0"/>
        <w:adjustRightInd w:val="0"/>
        <w:ind w:left="567"/>
        <w:jc w:val="both"/>
        <w:rPr>
          <w:rFonts w:asciiTheme="minorHAnsi" w:hAnsiTheme="minorHAnsi" w:cstheme="minorHAnsi"/>
          <w:sz w:val="22"/>
          <w:szCs w:val="22"/>
        </w:rPr>
      </w:pPr>
    </w:p>
    <w:p w14:paraId="5838BA32" w14:textId="6276B6E1" w:rsidR="00464D2C" w:rsidRPr="00251A7C" w:rsidRDefault="00464D2C" w:rsidP="00464D2C">
      <w:pPr>
        <w:autoSpaceDE w:val="0"/>
        <w:autoSpaceDN w:val="0"/>
        <w:adjustRightInd w:val="0"/>
        <w:spacing w:after="0" w:line="240" w:lineRule="auto"/>
        <w:jc w:val="both"/>
        <w:rPr>
          <w:i/>
          <w:iCs/>
          <w:lang w:val="en-GB"/>
        </w:rPr>
      </w:pPr>
      <w:r w:rsidRPr="00251A7C">
        <w:rPr>
          <w:u w:val="single"/>
          <w:lang w:val="en-GB"/>
        </w:rPr>
        <w:t>Ceftriaxone, IV:</w:t>
      </w:r>
      <w:r w:rsidRPr="00251A7C">
        <w:rPr>
          <w:lang w:val="en-GB"/>
        </w:rPr>
        <w:t xml:space="preserve"> </w:t>
      </w:r>
      <w:r w:rsidRPr="00251A7C">
        <w:rPr>
          <w:i/>
          <w:iCs/>
          <w:lang w:val="en-GB"/>
        </w:rPr>
        <w:t>deleted</w:t>
      </w:r>
    </w:p>
    <w:p w14:paraId="5B958F6E" w14:textId="77777777" w:rsidR="009B3014" w:rsidRPr="00251A7C" w:rsidRDefault="00464D2C" w:rsidP="00464D2C">
      <w:pPr>
        <w:autoSpaceDE w:val="0"/>
        <w:autoSpaceDN w:val="0"/>
        <w:adjustRightInd w:val="0"/>
        <w:spacing w:after="0" w:line="240" w:lineRule="auto"/>
        <w:jc w:val="both"/>
        <w:rPr>
          <w:lang w:val="en-GB"/>
        </w:rPr>
      </w:pPr>
      <w:r w:rsidRPr="00251A7C">
        <w:rPr>
          <w:lang w:val="en-GB"/>
        </w:rPr>
        <w:t xml:space="preserve">Common hospital-acquired pneumonia pathogens include </w:t>
      </w:r>
      <w:r w:rsidRPr="00251A7C">
        <w:rPr>
          <w:i/>
          <w:iCs/>
          <w:lang w:val="en-GB"/>
        </w:rPr>
        <w:t>Klebsiella</w:t>
      </w:r>
      <w:r w:rsidRPr="00251A7C">
        <w:rPr>
          <w:lang w:val="en-GB"/>
        </w:rPr>
        <w:t xml:space="preserve"> and </w:t>
      </w:r>
      <w:r w:rsidRPr="00251A7C">
        <w:rPr>
          <w:i/>
          <w:iCs/>
          <w:lang w:val="en-GB"/>
        </w:rPr>
        <w:t>Pseudomonas</w:t>
      </w:r>
      <w:r w:rsidR="009B3014" w:rsidRPr="00251A7C">
        <w:rPr>
          <w:lang w:val="en-GB"/>
        </w:rPr>
        <w:t xml:space="preserve">. </w:t>
      </w:r>
      <w:r w:rsidRPr="00251A7C">
        <w:rPr>
          <w:lang w:val="en-GB"/>
        </w:rPr>
        <w:t>As per latest GERMS</w:t>
      </w:r>
      <w:r w:rsidR="009B3014" w:rsidRPr="00251A7C">
        <w:rPr>
          <w:lang w:val="en-GB"/>
        </w:rPr>
        <w:t>-SA</w:t>
      </w:r>
      <w:r w:rsidRPr="00251A7C">
        <w:rPr>
          <w:lang w:val="en-GB"/>
        </w:rPr>
        <w:t xml:space="preserve"> surveillance, data, in public sector, 71% of invasive isolates are resistant to ceftriaxone (note, this figure includes community-acquired infections too; the resistance rate for hospital-acquired pneumonia is likely even higher than this figure). Pseudomonas is intrinsically resistant to ceftriaxone (</w:t>
      </w:r>
      <w:r w:rsidR="009B3014" w:rsidRPr="00251A7C">
        <w:rPr>
          <w:lang w:val="en-GB"/>
        </w:rPr>
        <w:t>i.e.,</w:t>
      </w:r>
      <w:r w:rsidRPr="00251A7C">
        <w:rPr>
          <w:lang w:val="en-GB"/>
        </w:rPr>
        <w:t xml:space="preserve"> 100% resistance). </w:t>
      </w:r>
    </w:p>
    <w:p w14:paraId="0D18F935" w14:textId="4409DACD" w:rsidR="009B3014" w:rsidRPr="00251A7C" w:rsidRDefault="009B3014" w:rsidP="00464D2C">
      <w:pPr>
        <w:autoSpaceDE w:val="0"/>
        <w:autoSpaceDN w:val="0"/>
        <w:adjustRightInd w:val="0"/>
        <w:spacing w:after="0" w:line="240" w:lineRule="auto"/>
        <w:jc w:val="both"/>
        <w:rPr>
          <w:lang w:val="en-GB"/>
        </w:rPr>
      </w:pPr>
      <w:r w:rsidRPr="00251A7C">
        <w:rPr>
          <w:noProof/>
          <w:lang w:val="en-GB"/>
        </w:rPr>
        <w:drawing>
          <wp:inline distT="0" distB="0" distL="0" distR="0" wp14:anchorId="491BC3B6" wp14:editId="10946FCF">
            <wp:extent cx="6619896" cy="3790315"/>
            <wp:effectExtent l="19050" t="19050" r="28575"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6">
                      <a:extLst>
                        <a:ext uri="{28A0092B-C50C-407E-A947-70E740481C1C}">
                          <a14:useLocalDpi xmlns:a14="http://schemas.microsoft.com/office/drawing/2010/main" val="0"/>
                        </a:ext>
                      </a:extLst>
                    </a:blip>
                    <a:srcRect l="374" r="-1" b="1712"/>
                    <a:stretch/>
                  </pic:blipFill>
                  <pic:spPr bwMode="auto">
                    <a:xfrm>
                      <a:off x="0" y="0"/>
                      <a:ext cx="6620565" cy="379069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F52D051" w14:textId="28DF926D" w:rsidR="00464D2C" w:rsidRPr="00251A7C" w:rsidRDefault="00464D2C" w:rsidP="00464D2C">
      <w:pPr>
        <w:autoSpaceDE w:val="0"/>
        <w:autoSpaceDN w:val="0"/>
        <w:adjustRightInd w:val="0"/>
        <w:spacing w:after="0" w:line="240" w:lineRule="auto"/>
        <w:jc w:val="both"/>
        <w:rPr>
          <w:lang w:val="en-GB"/>
        </w:rPr>
      </w:pPr>
      <w:r w:rsidRPr="00251A7C">
        <w:rPr>
          <w:i/>
          <w:iCs/>
          <w:lang w:val="en-GB"/>
        </w:rPr>
        <w:t>Source:</w:t>
      </w:r>
      <w:r w:rsidRPr="00251A7C">
        <w:rPr>
          <w:lang w:val="en-GB"/>
        </w:rPr>
        <w:t xml:space="preserve"> NICD antimicrobial surveillance reporting dashboard.</w:t>
      </w:r>
    </w:p>
    <w:p w14:paraId="165B8EA1" w14:textId="3D988074" w:rsidR="00C011B2" w:rsidRPr="00251A7C" w:rsidRDefault="00C011B2" w:rsidP="00C011B2">
      <w:pPr>
        <w:autoSpaceDE w:val="0"/>
        <w:autoSpaceDN w:val="0"/>
        <w:adjustRightInd w:val="0"/>
        <w:spacing w:after="0" w:line="240" w:lineRule="auto"/>
        <w:jc w:val="both"/>
        <w:rPr>
          <w:rFonts w:asciiTheme="minorHAnsi" w:hAnsiTheme="minorHAnsi" w:cstheme="minorHAnsi"/>
          <w:b/>
          <w:bCs/>
          <w:lang w:val="en-GB"/>
        </w:rPr>
      </w:pPr>
      <w:r w:rsidRPr="00251A7C">
        <w:rPr>
          <w:rFonts w:asciiTheme="minorHAnsi" w:hAnsiTheme="minorHAnsi" w:cstheme="minorHAnsi"/>
          <w:b/>
          <w:bCs/>
          <w:lang w:val="en-GB"/>
        </w:rPr>
        <w:t>Level of Evidence: Low certainty evidence, conditional recommendation</w:t>
      </w:r>
    </w:p>
    <w:p w14:paraId="1E84B1CB" w14:textId="49E63EE7" w:rsidR="00F449D4" w:rsidRPr="00251A7C" w:rsidRDefault="00F449D4" w:rsidP="00C011B2">
      <w:pPr>
        <w:autoSpaceDE w:val="0"/>
        <w:autoSpaceDN w:val="0"/>
        <w:adjustRightInd w:val="0"/>
        <w:spacing w:after="0" w:line="240" w:lineRule="auto"/>
        <w:jc w:val="both"/>
        <w:rPr>
          <w:rFonts w:asciiTheme="minorHAnsi" w:hAnsiTheme="minorHAnsi" w:cstheme="minorHAnsi"/>
          <w:b/>
          <w:bCs/>
          <w:lang w:val="en-GB"/>
        </w:rPr>
      </w:pPr>
    </w:p>
    <w:tbl>
      <w:tblPr>
        <w:tblStyle w:val="TableGrid"/>
        <w:tblW w:w="0" w:type="auto"/>
        <w:tblLook w:val="04A0" w:firstRow="1" w:lastRow="0" w:firstColumn="1" w:lastColumn="0" w:noHBand="0" w:noVBand="1"/>
      </w:tblPr>
      <w:tblGrid>
        <w:gridCol w:w="10456"/>
      </w:tblGrid>
      <w:tr w:rsidR="00FB201C" w:rsidRPr="00251A7C" w14:paraId="41D1C9B3" w14:textId="77777777" w:rsidTr="00F449D4">
        <w:tc>
          <w:tcPr>
            <w:tcW w:w="10456" w:type="dxa"/>
          </w:tcPr>
          <w:p w14:paraId="6D655E74" w14:textId="77777777" w:rsidR="00F449D4" w:rsidRPr="00251A7C" w:rsidRDefault="00F449D4" w:rsidP="00C011B2">
            <w:pPr>
              <w:autoSpaceDE w:val="0"/>
              <w:autoSpaceDN w:val="0"/>
              <w:adjustRightInd w:val="0"/>
              <w:spacing w:after="0" w:line="240" w:lineRule="auto"/>
              <w:jc w:val="both"/>
              <w:rPr>
                <w:rFonts w:asciiTheme="minorHAnsi" w:hAnsiTheme="minorHAnsi" w:cstheme="minorHAnsi"/>
                <w:b/>
                <w:bCs/>
                <w:color w:val="FF0000"/>
                <w:sz w:val="22"/>
                <w:szCs w:val="22"/>
                <w:u w:val="single"/>
                <w:lang w:val="en-GB"/>
              </w:rPr>
            </w:pPr>
            <w:r w:rsidRPr="00251A7C">
              <w:rPr>
                <w:rFonts w:asciiTheme="minorHAnsi" w:hAnsiTheme="minorHAnsi" w:cstheme="minorHAnsi"/>
                <w:b/>
                <w:bCs/>
                <w:color w:val="FF0000"/>
                <w:sz w:val="22"/>
                <w:szCs w:val="22"/>
                <w:u w:val="single"/>
                <w:lang w:val="en-GB"/>
              </w:rPr>
              <w:t>NEMLC MEETING OF 25 AUGUST 2022:</w:t>
            </w:r>
          </w:p>
          <w:p w14:paraId="4C008D32" w14:textId="77AE38E3" w:rsidR="00FB201C" w:rsidRPr="00251A7C" w:rsidRDefault="00FB201C" w:rsidP="00FB201C">
            <w:pPr>
              <w:pStyle w:val="CommentText"/>
              <w:spacing w:after="0"/>
              <w:rPr>
                <w:rFonts w:asciiTheme="minorHAnsi" w:hAnsiTheme="minorHAnsi" w:cstheme="minorHAnsi"/>
                <w:b/>
                <w:bCs/>
                <w:color w:val="FF0000"/>
                <w:sz w:val="22"/>
                <w:szCs w:val="22"/>
                <w:lang w:val="en-GB"/>
              </w:rPr>
            </w:pPr>
            <w:r w:rsidRPr="00251A7C">
              <w:rPr>
                <w:rFonts w:asciiTheme="minorHAnsi" w:hAnsiTheme="minorHAnsi" w:cstheme="minorHAnsi"/>
                <w:b/>
                <w:bCs/>
                <w:color w:val="FF0000"/>
                <w:sz w:val="22"/>
                <w:szCs w:val="22"/>
                <w:lang w:val="en-GB"/>
              </w:rPr>
              <w:t>Recommendations:</w:t>
            </w:r>
          </w:p>
          <w:p w14:paraId="47478312" w14:textId="4253E449" w:rsidR="00FB201C" w:rsidRPr="00251A7C" w:rsidRDefault="00FB201C" w:rsidP="008F728F">
            <w:pPr>
              <w:pStyle w:val="CommentText"/>
              <w:numPr>
                <w:ilvl w:val="0"/>
                <w:numId w:val="6"/>
              </w:numPr>
              <w:spacing w:after="0"/>
              <w:rPr>
                <w:color w:val="FF0000"/>
                <w:sz w:val="22"/>
                <w:szCs w:val="22"/>
                <w:lang w:val="en-GB"/>
              </w:rPr>
            </w:pPr>
            <w:r w:rsidRPr="00251A7C">
              <w:rPr>
                <w:rFonts w:asciiTheme="minorHAnsi" w:hAnsiTheme="minorHAnsi" w:cstheme="minorHAnsi"/>
                <w:color w:val="FF0000"/>
                <w:sz w:val="22"/>
                <w:szCs w:val="22"/>
                <w:lang w:val="en-GB"/>
              </w:rPr>
              <w:t>More</w:t>
            </w:r>
            <w:r w:rsidR="00F449D4" w:rsidRPr="00251A7C">
              <w:rPr>
                <w:rFonts w:asciiTheme="minorHAnsi" w:hAnsiTheme="minorHAnsi" w:cstheme="minorHAnsi"/>
                <w:color w:val="FF0000"/>
                <w:sz w:val="22"/>
                <w:szCs w:val="22"/>
                <w:lang w:val="en-GB"/>
              </w:rPr>
              <w:t xml:space="preserve"> granular data should be sourced from NICD to allow for a detailed interrogation of the resistance to cephalosporins. </w:t>
            </w:r>
          </w:p>
          <w:p w14:paraId="33E3B634" w14:textId="17A999CA" w:rsidR="00F449D4" w:rsidRPr="00251A7C" w:rsidRDefault="00FB201C" w:rsidP="00FB201C">
            <w:pPr>
              <w:pStyle w:val="CommentText"/>
              <w:numPr>
                <w:ilvl w:val="0"/>
                <w:numId w:val="6"/>
              </w:numPr>
              <w:spacing w:after="0"/>
              <w:rPr>
                <w:color w:val="FF0000"/>
                <w:highlight w:val="yellow"/>
                <w:lang w:val="en-GB"/>
              </w:rPr>
            </w:pPr>
            <w:r w:rsidRPr="00251A7C">
              <w:rPr>
                <w:rFonts w:asciiTheme="minorHAnsi" w:hAnsiTheme="minorHAnsi" w:cstheme="minorHAnsi"/>
                <w:color w:val="FF0000"/>
                <w:sz w:val="22"/>
                <w:szCs w:val="22"/>
                <w:lang w:val="en-GB"/>
              </w:rPr>
              <w:t>I</w:t>
            </w:r>
            <w:r w:rsidR="00F449D4" w:rsidRPr="00251A7C">
              <w:rPr>
                <w:rFonts w:asciiTheme="minorHAnsi" w:hAnsiTheme="minorHAnsi" w:cstheme="minorHAnsi"/>
                <w:color w:val="FF0000"/>
                <w:sz w:val="22"/>
                <w:szCs w:val="22"/>
                <w:lang w:val="en-GB"/>
              </w:rPr>
              <w:t>nclusion of the link to the NICD dashboard, to encourage end-users to engage with the dashboard</w:t>
            </w:r>
            <w:r w:rsidRPr="00251A7C">
              <w:rPr>
                <w:rFonts w:asciiTheme="minorHAnsi" w:hAnsiTheme="minorHAnsi" w:cstheme="minorHAnsi"/>
                <w:color w:val="FF0000"/>
                <w:sz w:val="22"/>
                <w:szCs w:val="22"/>
                <w:lang w:val="en-GB"/>
              </w:rPr>
              <w:t xml:space="preserve"> </w:t>
            </w:r>
            <w:r w:rsidRPr="00251A7C">
              <w:rPr>
                <w:color w:val="FF0000"/>
                <w:sz w:val="22"/>
                <w:szCs w:val="22"/>
                <w:lang w:val="en-GB"/>
              </w:rPr>
              <w:t>to prompt clinicians to seek local facility level data as an aid to improved prescribing and antibiotic stewardship</w:t>
            </w:r>
          </w:p>
        </w:tc>
      </w:tr>
    </w:tbl>
    <w:p w14:paraId="523044AB" w14:textId="77777777" w:rsidR="00F449D4" w:rsidRPr="00251A7C" w:rsidRDefault="00F449D4" w:rsidP="00C011B2">
      <w:pPr>
        <w:autoSpaceDE w:val="0"/>
        <w:autoSpaceDN w:val="0"/>
        <w:adjustRightInd w:val="0"/>
        <w:spacing w:after="0" w:line="240" w:lineRule="auto"/>
        <w:jc w:val="both"/>
        <w:rPr>
          <w:rFonts w:asciiTheme="minorHAnsi" w:hAnsiTheme="minorHAnsi" w:cstheme="minorHAnsi"/>
          <w:lang w:val="en-GB"/>
        </w:rPr>
      </w:pPr>
    </w:p>
    <w:p w14:paraId="2107F032" w14:textId="3727AE8B" w:rsidR="00F449D4" w:rsidRPr="00251A7C" w:rsidRDefault="00F449D4" w:rsidP="00C011B2">
      <w:pPr>
        <w:autoSpaceDE w:val="0"/>
        <w:autoSpaceDN w:val="0"/>
        <w:adjustRightInd w:val="0"/>
        <w:spacing w:after="0" w:line="240" w:lineRule="auto"/>
        <w:jc w:val="both"/>
        <w:rPr>
          <w:rFonts w:asciiTheme="minorHAnsi" w:hAnsiTheme="minorHAnsi" w:cstheme="minorHAnsi"/>
          <w:lang w:val="en-GB"/>
        </w:rPr>
      </w:pPr>
      <w:r w:rsidRPr="00251A7C">
        <w:rPr>
          <w:rFonts w:asciiTheme="minorHAnsi" w:hAnsiTheme="minorHAnsi" w:cstheme="minorHAnsi"/>
          <w:lang w:val="en-GB"/>
        </w:rPr>
        <w:t xml:space="preserve">Following NEMLC’s request </w:t>
      </w:r>
      <w:r w:rsidR="00F5326B" w:rsidRPr="00251A7C">
        <w:rPr>
          <w:rFonts w:asciiTheme="minorHAnsi" w:hAnsiTheme="minorHAnsi" w:cstheme="minorHAnsi"/>
          <w:lang w:val="en-GB"/>
        </w:rPr>
        <w:t xml:space="preserve">at the meeting of 25 August 2022, </w:t>
      </w:r>
      <w:r w:rsidRPr="00251A7C">
        <w:rPr>
          <w:rFonts w:asciiTheme="minorHAnsi" w:hAnsiTheme="minorHAnsi" w:cstheme="minorHAnsi"/>
          <w:lang w:val="en-GB"/>
        </w:rPr>
        <w:t xml:space="preserve">the following </w:t>
      </w:r>
      <w:r w:rsidR="00F5326B" w:rsidRPr="00251A7C">
        <w:rPr>
          <w:rFonts w:asciiTheme="minorHAnsi" w:hAnsiTheme="minorHAnsi" w:cstheme="minorHAnsi"/>
          <w:lang w:val="en-GB"/>
        </w:rPr>
        <w:t>was accessed from NICD AMR surveillance dashboard.</w:t>
      </w:r>
    </w:p>
    <w:p w14:paraId="72E7386C" w14:textId="50905906" w:rsidR="00F449D4" w:rsidRPr="00251A7C" w:rsidRDefault="00F449D4" w:rsidP="00C011B2">
      <w:pPr>
        <w:autoSpaceDE w:val="0"/>
        <w:autoSpaceDN w:val="0"/>
        <w:adjustRightInd w:val="0"/>
        <w:spacing w:after="0" w:line="240" w:lineRule="auto"/>
        <w:jc w:val="both"/>
        <w:rPr>
          <w:rFonts w:asciiTheme="minorHAnsi" w:hAnsiTheme="minorHAnsi" w:cstheme="minorHAnsi"/>
          <w:lang w:val="en-GB"/>
        </w:rPr>
      </w:pPr>
    </w:p>
    <w:p w14:paraId="18BCAA17" w14:textId="62CF3EE3" w:rsidR="00F449DD" w:rsidRPr="00251A7C" w:rsidRDefault="00F449DD" w:rsidP="00F449DD">
      <w:pPr>
        <w:autoSpaceDE w:val="0"/>
        <w:autoSpaceDN w:val="0"/>
        <w:adjustRightInd w:val="0"/>
        <w:spacing w:after="0" w:line="240" w:lineRule="auto"/>
        <w:jc w:val="both"/>
        <w:rPr>
          <w:rFonts w:asciiTheme="minorHAnsi" w:hAnsiTheme="minorHAnsi" w:cstheme="minorHAnsi"/>
          <w:lang w:val="en-GB"/>
        </w:rPr>
      </w:pPr>
      <w:r w:rsidRPr="00251A7C">
        <w:rPr>
          <w:rFonts w:asciiTheme="minorHAnsi" w:hAnsiTheme="minorHAnsi" w:cstheme="minorHAnsi"/>
          <w:lang w:val="en-GB"/>
        </w:rPr>
        <w:lastRenderedPageBreak/>
        <w:t xml:space="preserve">AST results stratified by province for 2021, for the public sector shows very high levels of ceftriaxone resistance across provinces.  </w:t>
      </w:r>
    </w:p>
    <w:p w14:paraId="2AA74F99" w14:textId="712D817E" w:rsidR="00F449D4" w:rsidRPr="00251A7C" w:rsidRDefault="00F449D4" w:rsidP="00C011B2">
      <w:pPr>
        <w:autoSpaceDE w:val="0"/>
        <w:autoSpaceDN w:val="0"/>
        <w:adjustRightInd w:val="0"/>
        <w:spacing w:after="0" w:line="240" w:lineRule="auto"/>
        <w:jc w:val="both"/>
        <w:rPr>
          <w:rFonts w:asciiTheme="minorHAnsi" w:hAnsiTheme="minorHAnsi" w:cstheme="minorHAnsi"/>
          <w:lang w:val="en-GB"/>
        </w:rPr>
      </w:pPr>
      <w:r w:rsidRPr="00251A7C">
        <w:rPr>
          <w:noProof/>
          <w:lang w:val="en-GB"/>
        </w:rPr>
        <w:drawing>
          <wp:inline distT="0" distB="0" distL="0" distR="0" wp14:anchorId="7CC388B0" wp14:editId="763ED2E2">
            <wp:extent cx="6645910" cy="2124710"/>
            <wp:effectExtent l="0" t="0" r="2540" b="889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5910" cy="2124710"/>
                    </a:xfrm>
                    <a:prstGeom prst="rect">
                      <a:avLst/>
                    </a:prstGeom>
                    <a:noFill/>
                    <a:ln>
                      <a:noFill/>
                    </a:ln>
                  </pic:spPr>
                </pic:pic>
              </a:graphicData>
            </a:graphic>
          </wp:inline>
        </w:drawing>
      </w:r>
    </w:p>
    <w:p w14:paraId="0A5B8474" w14:textId="5DBB81B3" w:rsidR="00F449D4" w:rsidRPr="00251A7C" w:rsidRDefault="00F449D4" w:rsidP="00C011B2">
      <w:pPr>
        <w:autoSpaceDE w:val="0"/>
        <w:autoSpaceDN w:val="0"/>
        <w:adjustRightInd w:val="0"/>
        <w:spacing w:after="0" w:line="240" w:lineRule="auto"/>
        <w:jc w:val="both"/>
        <w:rPr>
          <w:rFonts w:asciiTheme="minorHAnsi" w:hAnsiTheme="minorHAnsi" w:cstheme="minorHAnsi"/>
          <w:lang w:val="en-GB"/>
        </w:rPr>
      </w:pPr>
    </w:p>
    <w:p w14:paraId="54FB6344" w14:textId="4116C6D7" w:rsidR="00F449DD" w:rsidRPr="00251A7C" w:rsidRDefault="00F449DD" w:rsidP="00F449DD">
      <w:pPr>
        <w:autoSpaceDE w:val="0"/>
        <w:autoSpaceDN w:val="0"/>
        <w:adjustRightInd w:val="0"/>
        <w:spacing w:after="0" w:line="240" w:lineRule="auto"/>
        <w:jc w:val="both"/>
        <w:rPr>
          <w:rFonts w:asciiTheme="minorHAnsi" w:hAnsiTheme="minorHAnsi" w:cstheme="minorHAnsi"/>
          <w:lang w:val="en-GB"/>
        </w:rPr>
      </w:pPr>
      <w:r w:rsidRPr="00251A7C">
        <w:rPr>
          <w:rFonts w:asciiTheme="minorHAnsi" w:hAnsiTheme="minorHAnsi" w:cstheme="minorHAnsi"/>
          <w:lang w:val="en-GB"/>
        </w:rPr>
        <w:t>Across districts (excluding districts with &lt; 20 Klebsiella pneumoniae blood cultures in the year (2021), the median resistance percentage across 39 districts was 69%, with an IQR of 66-81%.</w:t>
      </w:r>
    </w:p>
    <w:p w14:paraId="4B1C0344" w14:textId="77777777" w:rsidR="00F449DD" w:rsidRPr="00251A7C" w:rsidRDefault="00F449DD" w:rsidP="00F449DD">
      <w:pPr>
        <w:autoSpaceDE w:val="0"/>
        <w:autoSpaceDN w:val="0"/>
        <w:adjustRightInd w:val="0"/>
        <w:spacing w:after="0" w:line="240" w:lineRule="auto"/>
        <w:jc w:val="both"/>
        <w:rPr>
          <w:rFonts w:asciiTheme="minorHAnsi" w:hAnsiTheme="minorHAnsi" w:cstheme="minorHAnsi"/>
          <w:lang w:val="en-GB"/>
        </w:rPr>
      </w:pPr>
    </w:p>
    <w:p w14:paraId="0CB62032" w14:textId="31197A82" w:rsidR="00F449DD" w:rsidRPr="00251A7C" w:rsidRDefault="00F449DD" w:rsidP="00F449DD">
      <w:pPr>
        <w:autoSpaceDE w:val="0"/>
        <w:autoSpaceDN w:val="0"/>
        <w:adjustRightInd w:val="0"/>
        <w:spacing w:after="0" w:line="240" w:lineRule="auto"/>
        <w:jc w:val="both"/>
        <w:rPr>
          <w:rFonts w:asciiTheme="minorHAnsi" w:hAnsiTheme="minorHAnsi" w:cstheme="minorHAnsi"/>
          <w:lang w:val="en-GB"/>
        </w:rPr>
      </w:pPr>
      <w:r w:rsidRPr="00251A7C">
        <w:rPr>
          <w:rFonts w:asciiTheme="minorHAnsi" w:hAnsiTheme="minorHAnsi" w:cstheme="minorHAnsi"/>
          <w:lang w:val="en-GB"/>
        </w:rPr>
        <w:t>The reported cases are likely an underestimate of ceftriaxone resistance in HAP as:</w:t>
      </w:r>
    </w:p>
    <w:p w14:paraId="41FDE57F" w14:textId="77777777" w:rsidR="00F449DD" w:rsidRPr="00251A7C" w:rsidRDefault="00F449DD" w:rsidP="00F449DD">
      <w:pPr>
        <w:autoSpaceDE w:val="0"/>
        <w:autoSpaceDN w:val="0"/>
        <w:adjustRightInd w:val="0"/>
        <w:spacing w:after="0" w:line="240" w:lineRule="auto"/>
        <w:jc w:val="both"/>
        <w:rPr>
          <w:rFonts w:asciiTheme="minorHAnsi" w:hAnsiTheme="minorHAnsi" w:cstheme="minorHAnsi"/>
          <w:lang w:val="en-GB"/>
        </w:rPr>
      </w:pPr>
      <w:r w:rsidRPr="00251A7C">
        <w:rPr>
          <w:rFonts w:asciiTheme="minorHAnsi" w:hAnsiTheme="minorHAnsi" w:cstheme="minorHAnsi"/>
          <w:lang w:val="en-GB"/>
        </w:rPr>
        <w:t>1. They include a minority of community-acquired infections, which generally have less resistance than hospital-acquired infections.</w:t>
      </w:r>
    </w:p>
    <w:p w14:paraId="445A0FFB" w14:textId="77777777" w:rsidR="00F449DD" w:rsidRPr="00251A7C" w:rsidRDefault="00F449DD" w:rsidP="00F449DD">
      <w:pPr>
        <w:autoSpaceDE w:val="0"/>
        <w:autoSpaceDN w:val="0"/>
        <w:adjustRightInd w:val="0"/>
        <w:spacing w:after="0" w:line="240" w:lineRule="auto"/>
        <w:jc w:val="both"/>
        <w:rPr>
          <w:rFonts w:asciiTheme="minorHAnsi" w:hAnsiTheme="minorHAnsi" w:cstheme="minorHAnsi"/>
          <w:lang w:val="en-GB"/>
        </w:rPr>
      </w:pPr>
      <w:r w:rsidRPr="00251A7C">
        <w:rPr>
          <w:rFonts w:asciiTheme="minorHAnsi" w:hAnsiTheme="minorHAnsi" w:cstheme="minorHAnsi"/>
          <w:lang w:val="en-GB"/>
        </w:rPr>
        <w:t>2. For other, less common, microbiological causes of HAP, the ceftriaxone resistance profile will be much worse - e.g. Pseudomonas (intrinsically resistant) or Acinetobacter spp. (near universal resistance).</w:t>
      </w:r>
    </w:p>
    <w:p w14:paraId="7D6B9D32" w14:textId="77777777" w:rsidR="00F449DD" w:rsidRPr="00251A7C" w:rsidRDefault="00F449DD" w:rsidP="00C011B2">
      <w:pPr>
        <w:autoSpaceDE w:val="0"/>
        <w:autoSpaceDN w:val="0"/>
        <w:adjustRightInd w:val="0"/>
        <w:spacing w:after="0" w:line="240" w:lineRule="auto"/>
        <w:jc w:val="both"/>
        <w:rPr>
          <w:rFonts w:asciiTheme="minorHAnsi" w:hAnsiTheme="minorHAnsi" w:cstheme="minorHAnsi"/>
          <w:highlight w:val="yellow"/>
          <w:lang w:val="en-GB"/>
        </w:rPr>
      </w:pPr>
    </w:p>
    <w:p w14:paraId="1FA20D46" w14:textId="4BB9C70D" w:rsidR="00734D13" w:rsidRPr="00251A7C" w:rsidRDefault="00E7254B" w:rsidP="00E338E1">
      <w:pPr>
        <w:autoSpaceDE w:val="0"/>
        <w:autoSpaceDN w:val="0"/>
        <w:adjustRightInd w:val="0"/>
        <w:spacing w:after="0" w:line="240" w:lineRule="auto"/>
        <w:jc w:val="both"/>
        <w:rPr>
          <w:i/>
          <w:iCs/>
          <w:lang w:val="en-GB"/>
        </w:rPr>
      </w:pPr>
      <w:r w:rsidRPr="00251A7C">
        <w:rPr>
          <w:u w:val="single"/>
          <w:lang w:val="en-GB"/>
        </w:rPr>
        <w:t>Severe penicillin allergy</w:t>
      </w:r>
      <w:r w:rsidRPr="00251A7C">
        <w:rPr>
          <w:lang w:val="en-GB"/>
        </w:rPr>
        <w:t xml:space="preserve">: </w:t>
      </w:r>
      <w:r w:rsidRPr="00251A7C">
        <w:rPr>
          <w:i/>
          <w:iCs/>
          <w:lang w:val="en-GB"/>
        </w:rPr>
        <w:t>guidance added</w:t>
      </w:r>
    </w:p>
    <w:p w14:paraId="3B7B7C7D" w14:textId="50C21043" w:rsidR="00734D13" w:rsidRPr="00251A7C" w:rsidRDefault="00DC18F6" w:rsidP="00E338E1">
      <w:pPr>
        <w:autoSpaceDE w:val="0"/>
        <w:autoSpaceDN w:val="0"/>
        <w:adjustRightInd w:val="0"/>
        <w:spacing w:after="0" w:line="240" w:lineRule="auto"/>
        <w:jc w:val="both"/>
        <w:rPr>
          <w:lang w:val="en-GB"/>
        </w:rPr>
      </w:pPr>
      <w:r w:rsidRPr="00251A7C">
        <w:rPr>
          <w:lang w:val="en-GB"/>
        </w:rPr>
        <w:t>For severe penicillin allergy, guidance was added to consult an infectious diseases specialist or microbiologist.</w:t>
      </w:r>
    </w:p>
    <w:p w14:paraId="61ACFE0C" w14:textId="6222B53D" w:rsidR="00C011B2" w:rsidRPr="00251A7C" w:rsidRDefault="00C011B2" w:rsidP="00C011B2">
      <w:pPr>
        <w:autoSpaceDE w:val="0"/>
        <w:autoSpaceDN w:val="0"/>
        <w:adjustRightInd w:val="0"/>
        <w:spacing w:after="0" w:line="240" w:lineRule="auto"/>
        <w:jc w:val="both"/>
        <w:rPr>
          <w:rFonts w:asciiTheme="minorHAnsi" w:hAnsiTheme="minorHAnsi" w:cstheme="minorHAnsi"/>
          <w:b/>
          <w:bCs/>
          <w:lang w:val="en-GB"/>
        </w:rPr>
      </w:pPr>
      <w:r w:rsidRPr="00251A7C">
        <w:rPr>
          <w:rFonts w:asciiTheme="minorHAnsi" w:hAnsiTheme="minorHAnsi" w:cstheme="minorHAnsi"/>
          <w:b/>
          <w:bCs/>
          <w:lang w:val="en-GB"/>
        </w:rPr>
        <w:t>Level of Evidence: Very low certainty evidence, conditional recommendation</w:t>
      </w:r>
    </w:p>
    <w:p w14:paraId="688FD51A" w14:textId="77777777" w:rsidR="00F449D4" w:rsidRPr="00251A7C" w:rsidRDefault="00F449D4" w:rsidP="00C011B2">
      <w:pPr>
        <w:autoSpaceDE w:val="0"/>
        <w:autoSpaceDN w:val="0"/>
        <w:adjustRightInd w:val="0"/>
        <w:spacing w:after="0" w:line="240" w:lineRule="auto"/>
        <w:jc w:val="both"/>
        <w:rPr>
          <w:rFonts w:asciiTheme="minorHAnsi" w:hAnsiTheme="minorHAnsi" w:cstheme="minorHAnsi"/>
          <w:b/>
          <w:bCs/>
          <w:i/>
          <w:iCs/>
          <w:highlight w:val="yellow"/>
          <w:lang w:val="en-GB"/>
        </w:rPr>
      </w:pPr>
    </w:p>
    <w:p w14:paraId="7AAF06C6" w14:textId="0A3E9B72" w:rsidR="00251A7C" w:rsidRPr="00251A7C" w:rsidRDefault="00251A7C" w:rsidP="00E338E1">
      <w:pPr>
        <w:autoSpaceDE w:val="0"/>
        <w:autoSpaceDN w:val="0"/>
        <w:adjustRightInd w:val="0"/>
        <w:spacing w:after="0" w:line="240" w:lineRule="auto"/>
        <w:jc w:val="both"/>
        <w:rPr>
          <w:lang w:val="en-GB"/>
        </w:rPr>
      </w:pPr>
      <w:r w:rsidRPr="00251A7C">
        <w:rPr>
          <w:u w:val="single"/>
          <w:lang w:val="en-GB"/>
        </w:rPr>
        <w:t>Antibiotic treatment protocol for HAP/VAP</w:t>
      </w:r>
      <w:r w:rsidRPr="00251A7C">
        <w:rPr>
          <w:lang w:val="en-GB"/>
        </w:rPr>
        <w:t>:</w:t>
      </w:r>
      <w:r w:rsidRPr="00251A7C">
        <w:rPr>
          <w:i/>
          <w:iCs/>
          <w:lang w:val="en-GB"/>
        </w:rPr>
        <w:t xml:space="preserve"> amended</w:t>
      </w:r>
      <w:r w:rsidRPr="00251A7C">
        <w:rPr>
          <w:lang w:val="en-GB"/>
        </w:rPr>
        <w:t xml:space="preserve"> </w:t>
      </w:r>
    </w:p>
    <w:p w14:paraId="40A75F67" w14:textId="6385B678" w:rsidR="00251A7C" w:rsidRPr="00251A7C" w:rsidRDefault="00251A7C" w:rsidP="00251A7C">
      <w:pPr>
        <w:autoSpaceDE w:val="0"/>
        <w:autoSpaceDN w:val="0"/>
        <w:adjustRightInd w:val="0"/>
        <w:spacing w:after="0" w:line="240" w:lineRule="auto"/>
        <w:jc w:val="both"/>
        <w:rPr>
          <w:rFonts w:cstheme="minorHAnsi"/>
          <w:bCs/>
          <w:color w:val="000000"/>
          <w:lang w:val="en-GB"/>
        </w:rPr>
      </w:pPr>
      <w:r w:rsidRPr="00251A7C">
        <w:rPr>
          <w:rFonts w:cstheme="minorHAnsi"/>
          <w:bCs/>
          <w:color w:val="000000"/>
          <w:u w:val="single"/>
          <w:lang w:val="en-GB"/>
        </w:rPr>
        <w:t>Carbapenems (imipenem/cilastin AND meropenem):</w:t>
      </w:r>
      <w:r w:rsidRPr="00251A7C">
        <w:rPr>
          <w:rFonts w:cstheme="minorHAnsi"/>
          <w:bCs/>
          <w:color w:val="000000"/>
          <w:lang w:val="en-GB"/>
        </w:rPr>
        <w:t xml:space="preserve"> </w:t>
      </w:r>
      <w:r w:rsidRPr="00251A7C">
        <w:rPr>
          <w:rFonts w:cstheme="minorHAnsi"/>
          <w:bCs/>
          <w:i/>
          <w:iCs/>
          <w:color w:val="000000"/>
          <w:lang w:val="en-GB"/>
        </w:rPr>
        <w:t>note added (to avoid imipenem/cilast</w:t>
      </w:r>
      <w:r w:rsidR="00583229">
        <w:rPr>
          <w:rFonts w:cstheme="minorHAnsi"/>
          <w:bCs/>
          <w:i/>
          <w:iCs/>
          <w:color w:val="000000"/>
          <w:lang w:val="en-GB"/>
        </w:rPr>
        <w:t>i</w:t>
      </w:r>
      <w:r w:rsidRPr="00251A7C">
        <w:rPr>
          <w:rFonts w:cstheme="minorHAnsi"/>
          <w:bCs/>
          <w:i/>
          <w:iCs/>
          <w:color w:val="000000"/>
          <w:lang w:val="en-GB"/>
        </w:rPr>
        <w:t>n in patients with CNS disorders or history of seizures – use meropenem)</w:t>
      </w:r>
    </w:p>
    <w:p w14:paraId="6CA6C3E2" w14:textId="77777777" w:rsidR="00251A7C" w:rsidRPr="00251A7C" w:rsidRDefault="00251A7C" w:rsidP="00E338E1">
      <w:pPr>
        <w:autoSpaceDE w:val="0"/>
        <w:autoSpaceDN w:val="0"/>
        <w:adjustRightInd w:val="0"/>
        <w:spacing w:after="0" w:line="240" w:lineRule="auto"/>
        <w:jc w:val="both"/>
        <w:rPr>
          <w:lang w:val="en-GB"/>
        </w:rPr>
      </w:pPr>
    </w:p>
    <w:p w14:paraId="76991766" w14:textId="666DAEAB" w:rsidR="00F5326B" w:rsidRPr="00251A7C" w:rsidRDefault="00251A7C" w:rsidP="00E338E1">
      <w:pPr>
        <w:autoSpaceDE w:val="0"/>
        <w:autoSpaceDN w:val="0"/>
        <w:adjustRightInd w:val="0"/>
        <w:spacing w:after="0" w:line="240" w:lineRule="auto"/>
        <w:jc w:val="both"/>
        <w:rPr>
          <w:lang w:val="en-GB"/>
        </w:rPr>
      </w:pPr>
      <w:r w:rsidRPr="00251A7C">
        <w:rPr>
          <w:lang w:val="en-GB"/>
        </w:rPr>
        <w:t>T</w:t>
      </w:r>
      <w:r w:rsidR="004A4013" w:rsidRPr="00251A7C">
        <w:rPr>
          <w:lang w:val="en-GB"/>
        </w:rPr>
        <w:t xml:space="preserve">he STG was </w:t>
      </w:r>
      <w:r w:rsidRPr="00251A7C">
        <w:rPr>
          <w:lang w:val="en-GB"/>
        </w:rPr>
        <w:t xml:space="preserve">editorially </w:t>
      </w:r>
      <w:r w:rsidR="004671D8" w:rsidRPr="00251A7C">
        <w:rPr>
          <w:lang w:val="en-GB"/>
        </w:rPr>
        <w:t xml:space="preserve">amended </w:t>
      </w:r>
      <w:r w:rsidRPr="00251A7C">
        <w:rPr>
          <w:lang w:val="en-GB"/>
        </w:rPr>
        <w:t xml:space="preserve">so that the antibiotic treatment protocol for HAP/VAP provided guidance towards a carbapenem-sparing approach, </w:t>
      </w:r>
      <w:r w:rsidR="0044252C" w:rsidRPr="00251A7C">
        <w:rPr>
          <w:lang w:val="en-GB"/>
        </w:rPr>
        <w:t xml:space="preserve">and the note for use of carbapenems (imipenem/cilastin </w:t>
      </w:r>
      <w:r w:rsidRPr="00251A7C">
        <w:rPr>
          <w:lang w:val="en-GB"/>
        </w:rPr>
        <w:t>and meropenem) was added (aligned with SAMF, 2022)</w:t>
      </w:r>
      <w:r w:rsidR="00F5326B" w:rsidRPr="00251A7C">
        <w:rPr>
          <w:lang w:val="en-GB"/>
        </w:rPr>
        <w:t>:</w:t>
      </w:r>
    </w:p>
    <w:tbl>
      <w:tblPr>
        <w:tblStyle w:val="TableGrid"/>
        <w:tblW w:w="0" w:type="auto"/>
        <w:tblLook w:val="04A0" w:firstRow="1" w:lastRow="0" w:firstColumn="1" w:lastColumn="0" w:noHBand="0" w:noVBand="1"/>
      </w:tblPr>
      <w:tblGrid>
        <w:gridCol w:w="10456"/>
      </w:tblGrid>
      <w:tr w:rsidR="00F5326B" w:rsidRPr="00251A7C" w14:paraId="6E9613E0" w14:textId="77777777" w:rsidTr="00F5326B">
        <w:tc>
          <w:tcPr>
            <w:tcW w:w="10456" w:type="dxa"/>
          </w:tcPr>
          <w:p w14:paraId="7F3F6AA1" w14:textId="77777777" w:rsidR="00DE6AD7" w:rsidRPr="00251A7C" w:rsidRDefault="00DE6AD7" w:rsidP="00DE6AD7">
            <w:pPr>
              <w:spacing w:after="0" w:line="240" w:lineRule="auto"/>
              <w:rPr>
                <w:rFonts w:asciiTheme="minorHAnsi" w:hAnsiTheme="minorHAnsi" w:cstheme="minorHAnsi"/>
                <w:b/>
                <w:strike/>
                <w:sz w:val="18"/>
                <w:szCs w:val="18"/>
                <w:lang w:val="en-GB"/>
              </w:rPr>
            </w:pPr>
            <w:r w:rsidRPr="00251A7C">
              <w:rPr>
                <w:rFonts w:asciiTheme="minorHAnsi" w:hAnsiTheme="minorHAnsi" w:cstheme="minorHAnsi"/>
                <w:b/>
                <w:strike/>
                <w:sz w:val="18"/>
                <w:szCs w:val="18"/>
                <w:lang w:val="en-GB"/>
              </w:rPr>
              <w:t xml:space="preserve">Empiric antibiotic therapy </w:t>
            </w:r>
          </w:p>
          <w:p w14:paraId="184B6EBC" w14:textId="77777777" w:rsidR="00DE6AD7" w:rsidRPr="00251A7C" w:rsidRDefault="00DE6AD7" w:rsidP="00DE6AD7">
            <w:pPr>
              <w:spacing w:after="0" w:line="240" w:lineRule="auto"/>
              <w:rPr>
                <w:rFonts w:asciiTheme="minorHAnsi" w:hAnsiTheme="minorHAnsi" w:cstheme="minorHAnsi"/>
                <w:b/>
                <w:strike/>
                <w:sz w:val="18"/>
                <w:szCs w:val="18"/>
                <w:lang w:val="en-GB"/>
              </w:rPr>
            </w:pPr>
            <w:r w:rsidRPr="00251A7C">
              <w:rPr>
                <w:rFonts w:asciiTheme="minorHAnsi" w:hAnsiTheme="minorHAnsi" w:cstheme="minorHAnsi"/>
                <w:strike/>
                <w:sz w:val="18"/>
                <w:szCs w:val="18"/>
                <w:lang w:val="en-GB"/>
              </w:rPr>
              <w:t>Duration: 7 days.</w:t>
            </w:r>
          </w:p>
          <w:p w14:paraId="622D8056" w14:textId="77777777" w:rsidR="00DE6AD7" w:rsidRPr="00251A7C" w:rsidRDefault="00DE6AD7" w:rsidP="00DE6AD7">
            <w:pPr>
              <w:spacing w:after="0" w:line="240" w:lineRule="auto"/>
              <w:rPr>
                <w:rFonts w:asciiTheme="minorHAnsi" w:hAnsiTheme="minorHAnsi" w:cstheme="minorHAnsi"/>
                <w:strike/>
                <w:sz w:val="18"/>
                <w:szCs w:val="18"/>
                <w:lang w:val="en-GB"/>
              </w:rPr>
            </w:pPr>
            <w:r w:rsidRPr="00251A7C">
              <w:rPr>
                <w:rFonts w:asciiTheme="minorHAnsi" w:hAnsiTheme="minorHAnsi" w:cstheme="minorHAnsi"/>
                <w:strike/>
                <w:sz w:val="18"/>
                <w:szCs w:val="18"/>
                <w:lang w:val="en-GB"/>
              </w:rPr>
              <w:t>Antibiotic choice will depend on local susceptibility patterns. One or more of the following antibiotics/classes must be available, dependant on local susceptibility patterns:</w:t>
            </w:r>
          </w:p>
          <w:p w14:paraId="06A15DC1" w14:textId="77777777" w:rsidR="00DE6AD7" w:rsidRPr="00251A7C" w:rsidRDefault="00DE6AD7" w:rsidP="00DE6AD7">
            <w:pPr>
              <w:pStyle w:val="Medicinebullet1"/>
              <w:widowControl w:val="0"/>
              <w:numPr>
                <w:ilvl w:val="0"/>
                <w:numId w:val="4"/>
              </w:numPr>
              <w:ind w:left="284" w:hanging="284"/>
              <w:rPr>
                <w:rFonts w:asciiTheme="minorHAnsi" w:hAnsiTheme="minorHAnsi" w:cstheme="minorHAnsi"/>
                <w:strike/>
                <w:lang w:val="en-GB"/>
              </w:rPr>
            </w:pPr>
            <w:r w:rsidRPr="00251A7C">
              <w:rPr>
                <w:rFonts w:asciiTheme="minorHAnsi" w:hAnsiTheme="minorHAnsi" w:cstheme="minorHAnsi"/>
                <w:strike/>
                <w:lang w:val="en-GB"/>
              </w:rPr>
              <w:t>Piperacillin/tazobactam, IV, 4.5 g 8 hourly.</w:t>
            </w:r>
          </w:p>
          <w:p w14:paraId="779667E9" w14:textId="77777777" w:rsidR="00DE6AD7" w:rsidRPr="00251A7C" w:rsidRDefault="00DE6AD7" w:rsidP="00DE6AD7">
            <w:pPr>
              <w:pStyle w:val="Medicinebullet1"/>
              <w:tabs>
                <w:tab w:val="left" w:pos="0"/>
              </w:tabs>
              <w:rPr>
                <w:rFonts w:asciiTheme="minorHAnsi" w:hAnsiTheme="minorHAnsi" w:cstheme="minorHAnsi"/>
                <w:b/>
                <w:strike/>
                <w:lang w:val="en-GB"/>
              </w:rPr>
            </w:pPr>
            <w:r w:rsidRPr="00251A7C">
              <w:rPr>
                <w:rFonts w:asciiTheme="minorHAnsi" w:hAnsiTheme="minorHAnsi" w:cstheme="minorHAnsi"/>
                <w:b/>
                <w:strike/>
                <w:lang w:val="en-GB"/>
              </w:rPr>
              <w:t>and</w:t>
            </w:r>
          </w:p>
          <w:p w14:paraId="601D5BB1" w14:textId="77777777" w:rsidR="00DE6AD7" w:rsidRPr="00251A7C" w:rsidRDefault="00DE6AD7" w:rsidP="00DE6AD7">
            <w:pPr>
              <w:pStyle w:val="Medicinebullet1"/>
              <w:widowControl w:val="0"/>
              <w:numPr>
                <w:ilvl w:val="0"/>
                <w:numId w:val="4"/>
              </w:numPr>
              <w:ind w:left="284" w:hanging="284"/>
              <w:rPr>
                <w:rFonts w:asciiTheme="minorHAnsi" w:hAnsiTheme="minorHAnsi" w:cstheme="minorHAnsi"/>
                <w:strike/>
                <w:lang w:val="en-GB"/>
              </w:rPr>
            </w:pPr>
            <w:r w:rsidRPr="00251A7C">
              <w:rPr>
                <w:rFonts w:asciiTheme="minorHAnsi" w:hAnsiTheme="minorHAnsi" w:cstheme="minorHAnsi"/>
                <w:strike/>
                <w:lang w:val="en-GB"/>
              </w:rPr>
              <w:t>Amikacin, IV, 15 mg/kg daily. (See Appendix II, for individual dosing and monitoring for response and toxicity).</w:t>
            </w:r>
          </w:p>
          <w:p w14:paraId="6DBFA2D7" w14:textId="77777777" w:rsidR="00DE6AD7" w:rsidRPr="00251A7C" w:rsidRDefault="00DE6AD7" w:rsidP="00DE6AD7">
            <w:pPr>
              <w:spacing w:after="0" w:line="240" w:lineRule="auto"/>
              <w:rPr>
                <w:rFonts w:asciiTheme="minorHAnsi" w:hAnsiTheme="minorHAnsi" w:cstheme="minorHAnsi"/>
                <w:b/>
                <w:bCs/>
                <w:strike/>
                <w:sz w:val="18"/>
                <w:szCs w:val="18"/>
                <w:lang w:val="en-GB"/>
              </w:rPr>
            </w:pPr>
            <w:r w:rsidRPr="00251A7C">
              <w:rPr>
                <w:rFonts w:asciiTheme="minorHAnsi" w:hAnsiTheme="minorHAnsi" w:cstheme="minorHAnsi"/>
                <w:b/>
                <w:bCs/>
                <w:strike/>
                <w:sz w:val="18"/>
                <w:szCs w:val="18"/>
                <w:lang w:val="en-GB"/>
              </w:rPr>
              <w:t>OR</w:t>
            </w:r>
          </w:p>
          <w:p w14:paraId="6BD7051E" w14:textId="77777777" w:rsidR="00DE6AD7" w:rsidRPr="00251A7C" w:rsidRDefault="00DE6AD7" w:rsidP="00DE6AD7">
            <w:pPr>
              <w:pStyle w:val="Medicinebullet1"/>
              <w:widowControl w:val="0"/>
              <w:numPr>
                <w:ilvl w:val="0"/>
                <w:numId w:val="4"/>
              </w:numPr>
              <w:ind w:left="284" w:hanging="284"/>
              <w:rPr>
                <w:rFonts w:asciiTheme="minorHAnsi" w:hAnsiTheme="minorHAnsi" w:cstheme="minorHAnsi"/>
                <w:strike/>
                <w:lang w:val="en-GB"/>
              </w:rPr>
            </w:pPr>
            <w:r w:rsidRPr="00251A7C">
              <w:rPr>
                <w:rFonts w:asciiTheme="minorHAnsi" w:hAnsiTheme="minorHAnsi" w:cstheme="minorHAnsi"/>
                <w:strike/>
                <w:lang w:val="en-GB"/>
              </w:rPr>
              <w:t>Cefepime, IV, 2 g 12 hourly. (See Appendix II for guidance on dosing in renal impairment).</w:t>
            </w:r>
          </w:p>
          <w:p w14:paraId="6C9D7537" w14:textId="77777777" w:rsidR="00DE6AD7" w:rsidRPr="00251A7C" w:rsidRDefault="00DE6AD7" w:rsidP="00DE6AD7">
            <w:pPr>
              <w:spacing w:after="0" w:line="240" w:lineRule="auto"/>
              <w:rPr>
                <w:rFonts w:asciiTheme="minorHAnsi" w:hAnsiTheme="minorHAnsi" w:cstheme="minorHAnsi"/>
                <w:b/>
                <w:strike/>
                <w:sz w:val="18"/>
                <w:szCs w:val="18"/>
                <w:lang w:val="en-GB"/>
              </w:rPr>
            </w:pPr>
            <w:r w:rsidRPr="00251A7C">
              <w:rPr>
                <w:rFonts w:asciiTheme="minorHAnsi" w:hAnsiTheme="minorHAnsi" w:cstheme="minorHAnsi"/>
                <w:b/>
                <w:strike/>
                <w:sz w:val="18"/>
                <w:szCs w:val="18"/>
                <w:lang w:val="en-GB"/>
              </w:rPr>
              <w:t>OR</w:t>
            </w:r>
          </w:p>
          <w:p w14:paraId="6FA6B357" w14:textId="77777777" w:rsidR="00DE6AD7" w:rsidRPr="00251A7C" w:rsidRDefault="00DE6AD7" w:rsidP="00DE6AD7">
            <w:pPr>
              <w:spacing w:after="0" w:line="240" w:lineRule="auto"/>
              <w:rPr>
                <w:rFonts w:asciiTheme="minorHAnsi" w:hAnsiTheme="minorHAnsi" w:cstheme="minorHAnsi"/>
                <w:strike/>
                <w:sz w:val="18"/>
                <w:szCs w:val="18"/>
                <w:lang w:val="en-GB"/>
              </w:rPr>
            </w:pPr>
            <w:r w:rsidRPr="00251A7C">
              <w:rPr>
                <w:rFonts w:asciiTheme="minorHAnsi" w:hAnsiTheme="minorHAnsi" w:cstheme="minorHAnsi"/>
                <w:strike/>
                <w:sz w:val="18"/>
                <w:szCs w:val="18"/>
                <w:lang w:val="en-GB"/>
              </w:rPr>
              <w:t xml:space="preserve">Instead of piperacillin/tazobactam + amikacin </w:t>
            </w:r>
            <w:r w:rsidRPr="00251A7C">
              <w:rPr>
                <w:rFonts w:asciiTheme="minorHAnsi" w:hAnsiTheme="minorHAnsi" w:cstheme="minorHAnsi"/>
                <w:b/>
                <w:strike/>
                <w:sz w:val="18"/>
                <w:szCs w:val="18"/>
                <w:lang w:val="en-GB"/>
              </w:rPr>
              <w:t>OR</w:t>
            </w:r>
            <w:r w:rsidRPr="00251A7C">
              <w:rPr>
                <w:rFonts w:asciiTheme="minorHAnsi" w:hAnsiTheme="minorHAnsi" w:cstheme="minorHAnsi"/>
                <w:strike/>
                <w:sz w:val="18"/>
                <w:szCs w:val="18"/>
                <w:lang w:val="en-GB"/>
              </w:rPr>
              <w:t xml:space="preserve"> cefepime:</w:t>
            </w:r>
          </w:p>
          <w:p w14:paraId="693B1441" w14:textId="77777777" w:rsidR="00DE6AD7" w:rsidRPr="00251A7C" w:rsidRDefault="00DE6AD7" w:rsidP="00DE6AD7">
            <w:pPr>
              <w:tabs>
                <w:tab w:val="left" w:pos="284"/>
              </w:tabs>
              <w:spacing w:after="0" w:line="240" w:lineRule="auto"/>
              <w:rPr>
                <w:rFonts w:asciiTheme="minorHAnsi" w:hAnsiTheme="minorHAnsi" w:cstheme="minorHAnsi"/>
                <w:strike/>
                <w:sz w:val="18"/>
                <w:szCs w:val="18"/>
                <w:lang w:val="en-GB"/>
              </w:rPr>
            </w:pPr>
            <w:r w:rsidRPr="00251A7C">
              <w:rPr>
                <w:rFonts w:asciiTheme="minorHAnsi" w:hAnsiTheme="minorHAnsi" w:cstheme="minorHAnsi"/>
                <w:strike/>
                <w:sz w:val="18"/>
                <w:szCs w:val="18"/>
                <w:lang w:val="en-GB"/>
              </w:rPr>
              <w:t>Carbapenem with activity against Pseudomonas:</w:t>
            </w:r>
          </w:p>
          <w:p w14:paraId="1A84E100" w14:textId="77777777" w:rsidR="00DE6AD7" w:rsidRPr="00251A7C" w:rsidRDefault="00DE6AD7" w:rsidP="00DE6AD7">
            <w:pPr>
              <w:pStyle w:val="Medicinebullet1"/>
              <w:widowControl w:val="0"/>
              <w:numPr>
                <w:ilvl w:val="0"/>
                <w:numId w:val="4"/>
              </w:numPr>
              <w:ind w:left="284" w:hanging="284"/>
              <w:rPr>
                <w:rFonts w:asciiTheme="minorHAnsi" w:hAnsiTheme="minorHAnsi" w:cstheme="minorHAnsi"/>
                <w:strike/>
                <w:lang w:val="en-GB"/>
              </w:rPr>
            </w:pPr>
            <w:r w:rsidRPr="00251A7C">
              <w:rPr>
                <w:rFonts w:asciiTheme="minorHAnsi" w:hAnsiTheme="minorHAnsi" w:cstheme="minorHAnsi"/>
                <w:strike/>
                <w:lang w:val="en-GB"/>
              </w:rPr>
              <w:t>Imipenem/cilastan, IV, 1000/1000 mg 8 hourly (except CNS infections or known epileptics).</w:t>
            </w:r>
          </w:p>
          <w:p w14:paraId="2E184594" w14:textId="77777777" w:rsidR="00DE6AD7" w:rsidRPr="00251A7C" w:rsidRDefault="00DE6AD7" w:rsidP="00DE6AD7">
            <w:pPr>
              <w:pStyle w:val="Medicinebullet1"/>
              <w:rPr>
                <w:rFonts w:asciiTheme="minorHAnsi" w:hAnsiTheme="minorHAnsi" w:cstheme="minorHAnsi"/>
                <w:b/>
                <w:strike/>
                <w:lang w:val="en-GB"/>
              </w:rPr>
            </w:pPr>
            <w:r w:rsidRPr="00251A7C">
              <w:rPr>
                <w:rFonts w:asciiTheme="minorHAnsi" w:hAnsiTheme="minorHAnsi" w:cstheme="minorHAnsi"/>
                <w:b/>
                <w:strike/>
                <w:lang w:val="en-GB"/>
              </w:rPr>
              <w:t>OR</w:t>
            </w:r>
          </w:p>
          <w:p w14:paraId="3FB051F3" w14:textId="77777777" w:rsidR="00DE6AD7" w:rsidRPr="00251A7C" w:rsidRDefault="00DE6AD7" w:rsidP="00DE6AD7">
            <w:pPr>
              <w:pStyle w:val="Medicinebullet1"/>
              <w:rPr>
                <w:rFonts w:asciiTheme="minorHAnsi" w:hAnsiTheme="minorHAnsi" w:cstheme="minorHAnsi"/>
                <w:strike/>
                <w:lang w:val="en-GB"/>
              </w:rPr>
            </w:pPr>
            <w:r w:rsidRPr="00251A7C">
              <w:rPr>
                <w:rFonts w:asciiTheme="minorHAnsi" w:hAnsiTheme="minorHAnsi" w:cstheme="minorHAnsi"/>
                <w:strike/>
                <w:lang w:val="en-GB"/>
              </w:rPr>
              <w:t xml:space="preserve">Instead of piperacillin/tazobactam + amikacin </w:t>
            </w:r>
            <w:r w:rsidRPr="00251A7C">
              <w:rPr>
                <w:rFonts w:asciiTheme="minorHAnsi" w:hAnsiTheme="minorHAnsi" w:cstheme="minorHAnsi"/>
                <w:b/>
                <w:strike/>
                <w:lang w:val="en-GB"/>
              </w:rPr>
              <w:t>OR</w:t>
            </w:r>
            <w:r w:rsidRPr="00251A7C">
              <w:rPr>
                <w:rFonts w:asciiTheme="minorHAnsi" w:hAnsiTheme="minorHAnsi" w:cstheme="minorHAnsi"/>
                <w:strike/>
                <w:lang w:val="en-GB"/>
              </w:rPr>
              <w:t xml:space="preserve"> cefepime </w:t>
            </w:r>
            <w:r w:rsidRPr="00251A7C">
              <w:rPr>
                <w:rFonts w:asciiTheme="minorHAnsi" w:hAnsiTheme="minorHAnsi" w:cstheme="minorHAnsi"/>
                <w:b/>
                <w:strike/>
                <w:lang w:val="en-GB"/>
              </w:rPr>
              <w:t xml:space="preserve">OR </w:t>
            </w:r>
            <w:r w:rsidRPr="00251A7C">
              <w:rPr>
                <w:rFonts w:asciiTheme="minorHAnsi" w:hAnsiTheme="minorHAnsi" w:cstheme="minorHAnsi"/>
                <w:strike/>
                <w:lang w:val="en-GB"/>
              </w:rPr>
              <w:t>imipenem:</w:t>
            </w:r>
          </w:p>
          <w:p w14:paraId="6A44A187" w14:textId="77777777" w:rsidR="00DE6AD7" w:rsidRPr="00251A7C" w:rsidRDefault="00DE6AD7" w:rsidP="00DE6AD7">
            <w:pPr>
              <w:pStyle w:val="Medicinebullet1"/>
              <w:widowControl w:val="0"/>
              <w:numPr>
                <w:ilvl w:val="0"/>
                <w:numId w:val="4"/>
              </w:numPr>
              <w:ind w:left="284" w:hanging="284"/>
              <w:rPr>
                <w:rFonts w:asciiTheme="minorHAnsi" w:hAnsiTheme="minorHAnsi" w:cstheme="minorHAnsi"/>
                <w:strike/>
                <w:lang w:val="en-GB"/>
              </w:rPr>
            </w:pPr>
            <w:r w:rsidRPr="00251A7C">
              <w:rPr>
                <w:rFonts w:asciiTheme="minorHAnsi" w:hAnsiTheme="minorHAnsi" w:cstheme="minorHAnsi"/>
                <w:strike/>
                <w:lang w:val="en-GB"/>
              </w:rPr>
              <w:t>Meropenem, IV, 2 g 8 hourly (CNS infections or known epileptics).</w:t>
            </w:r>
          </w:p>
          <w:p w14:paraId="1EB2BA2C" w14:textId="77777777" w:rsidR="00DE6AD7" w:rsidRPr="00251A7C" w:rsidRDefault="00DE6AD7" w:rsidP="00DE6AD7">
            <w:pPr>
              <w:pStyle w:val="Medicinebullet1"/>
              <w:rPr>
                <w:rFonts w:asciiTheme="minorHAnsi" w:hAnsiTheme="minorHAnsi" w:cstheme="minorHAnsi"/>
                <w:strike/>
                <w:lang w:val="en-GB"/>
              </w:rPr>
            </w:pPr>
            <w:r w:rsidRPr="00251A7C">
              <w:rPr>
                <w:rFonts w:asciiTheme="minorHAnsi" w:hAnsiTheme="minorHAnsi" w:cstheme="minorHAnsi"/>
                <w:b/>
                <w:strike/>
                <w:lang w:val="en-GB"/>
              </w:rPr>
              <w:t>Note:</w:t>
            </w:r>
            <w:r w:rsidRPr="00251A7C">
              <w:rPr>
                <w:rFonts w:asciiTheme="minorHAnsi" w:hAnsiTheme="minorHAnsi" w:cstheme="minorHAnsi"/>
                <w:strike/>
                <w:lang w:val="en-GB"/>
              </w:rPr>
              <w:t xml:space="preserve"> De-escalate as soon as the culture is available.</w:t>
            </w:r>
          </w:p>
          <w:p w14:paraId="7EED3EFB" w14:textId="7B4F61C4" w:rsidR="00F5326B" w:rsidRPr="00251A7C" w:rsidRDefault="00DE6AD7" w:rsidP="00DE6AD7">
            <w:pPr>
              <w:pStyle w:val="Medicinebullet1"/>
              <w:jc w:val="both"/>
              <w:rPr>
                <w:lang w:val="en-GB"/>
              </w:rPr>
            </w:pPr>
            <w:r w:rsidRPr="00251A7C">
              <w:rPr>
                <w:rFonts w:asciiTheme="minorHAnsi" w:hAnsiTheme="minorHAnsi" w:cstheme="minorHAnsi"/>
                <w:strike/>
                <w:lang w:val="en-GB"/>
              </w:rPr>
              <w:t>For severe pencillin allergy, consult an infectious diseases specialist or microbiologist.</w:t>
            </w:r>
          </w:p>
        </w:tc>
      </w:tr>
    </w:tbl>
    <w:p w14:paraId="23BCD200" w14:textId="77777777" w:rsidR="004671D8" w:rsidRPr="00251A7C" w:rsidRDefault="004671D8" w:rsidP="00E338E1">
      <w:pPr>
        <w:autoSpaceDE w:val="0"/>
        <w:autoSpaceDN w:val="0"/>
        <w:adjustRightInd w:val="0"/>
        <w:spacing w:after="0" w:line="240" w:lineRule="auto"/>
        <w:jc w:val="both"/>
        <w:rPr>
          <w:lang w:val="en-GB"/>
        </w:rPr>
      </w:pPr>
    </w:p>
    <w:p w14:paraId="3FF6C257" w14:textId="32EF5C83" w:rsidR="00BF3233" w:rsidRPr="00251A7C" w:rsidRDefault="00F5326B" w:rsidP="00E338E1">
      <w:pPr>
        <w:autoSpaceDE w:val="0"/>
        <w:autoSpaceDN w:val="0"/>
        <w:adjustRightInd w:val="0"/>
        <w:spacing w:after="0" w:line="240" w:lineRule="auto"/>
        <w:jc w:val="both"/>
        <w:rPr>
          <w:lang w:val="en-GB"/>
        </w:rPr>
      </w:pPr>
      <w:r w:rsidRPr="00251A7C">
        <w:rPr>
          <w:lang w:val="en-GB"/>
        </w:rPr>
        <w:t>To:</w:t>
      </w:r>
    </w:p>
    <w:tbl>
      <w:tblPr>
        <w:tblStyle w:val="TableGrid"/>
        <w:tblW w:w="0" w:type="auto"/>
        <w:tblLook w:val="04A0" w:firstRow="1" w:lastRow="0" w:firstColumn="1" w:lastColumn="0" w:noHBand="0" w:noVBand="1"/>
      </w:tblPr>
      <w:tblGrid>
        <w:gridCol w:w="10456"/>
      </w:tblGrid>
      <w:tr w:rsidR="004A4013" w:rsidRPr="00251A7C" w14:paraId="243B9536" w14:textId="77777777" w:rsidTr="004A4013">
        <w:tc>
          <w:tcPr>
            <w:tcW w:w="10456" w:type="dxa"/>
          </w:tcPr>
          <w:p w14:paraId="77483A6D" w14:textId="77777777" w:rsidR="00F5326B" w:rsidRPr="00251A7C" w:rsidRDefault="00F5326B" w:rsidP="00F5326B">
            <w:pPr>
              <w:spacing w:after="0" w:line="240" w:lineRule="auto"/>
              <w:rPr>
                <w:rFonts w:asciiTheme="minorHAnsi" w:hAnsiTheme="minorHAnsi" w:cstheme="minorHAnsi"/>
                <w:b/>
                <w:sz w:val="18"/>
                <w:szCs w:val="18"/>
                <w:u w:val="single"/>
                <w:lang w:val="en-GB"/>
              </w:rPr>
            </w:pPr>
            <w:r w:rsidRPr="00251A7C">
              <w:rPr>
                <w:rFonts w:asciiTheme="minorHAnsi" w:hAnsiTheme="minorHAnsi" w:cstheme="minorHAnsi"/>
                <w:b/>
                <w:sz w:val="18"/>
                <w:szCs w:val="18"/>
                <w:u w:val="single"/>
                <w:lang w:val="en-GB"/>
              </w:rPr>
              <w:t xml:space="preserve">Empiric antibiotic therapy </w:t>
            </w:r>
          </w:p>
          <w:p w14:paraId="45732388" w14:textId="77777777" w:rsidR="00F5326B" w:rsidRPr="00251A7C" w:rsidRDefault="00F5326B" w:rsidP="00F5326B">
            <w:pPr>
              <w:spacing w:after="0" w:line="240" w:lineRule="auto"/>
              <w:rPr>
                <w:rFonts w:asciiTheme="minorHAnsi" w:hAnsiTheme="minorHAnsi" w:cstheme="minorHAnsi"/>
                <w:b/>
                <w:sz w:val="18"/>
                <w:szCs w:val="18"/>
                <w:u w:val="single"/>
                <w:lang w:val="en-GB"/>
              </w:rPr>
            </w:pPr>
            <w:r w:rsidRPr="00251A7C">
              <w:rPr>
                <w:rFonts w:asciiTheme="minorHAnsi" w:hAnsiTheme="minorHAnsi" w:cstheme="minorHAnsi"/>
                <w:sz w:val="18"/>
                <w:szCs w:val="18"/>
                <w:u w:val="single"/>
                <w:lang w:val="en-GB"/>
              </w:rPr>
              <w:t>Duration: 7 days.</w:t>
            </w:r>
          </w:p>
          <w:p w14:paraId="08288395" w14:textId="77777777" w:rsidR="00F5326B" w:rsidRPr="00251A7C" w:rsidRDefault="00F5326B" w:rsidP="00F5326B">
            <w:pPr>
              <w:spacing w:after="0" w:line="240" w:lineRule="auto"/>
              <w:rPr>
                <w:rFonts w:asciiTheme="minorHAnsi" w:hAnsiTheme="minorHAnsi" w:cstheme="minorHAnsi"/>
                <w:sz w:val="18"/>
                <w:szCs w:val="18"/>
                <w:u w:val="single"/>
                <w:lang w:val="en-GB"/>
              </w:rPr>
            </w:pPr>
            <w:r w:rsidRPr="00251A7C">
              <w:rPr>
                <w:rFonts w:asciiTheme="minorHAnsi" w:hAnsiTheme="minorHAnsi" w:cstheme="minorHAnsi"/>
                <w:sz w:val="18"/>
                <w:szCs w:val="18"/>
                <w:u w:val="single"/>
                <w:lang w:val="en-GB"/>
              </w:rPr>
              <w:lastRenderedPageBreak/>
              <w:t xml:space="preserve">Antibiotic choice will depend on local susceptibility patterns: </w:t>
            </w:r>
            <w:hyperlink r:id="rId18" w:history="1">
              <w:r w:rsidRPr="00251A7C">
                <w:rPr>
                  <w:rStyle w:val="Hyperlink"/>
                  <w:rFonts w:asciiTheme="minorHAnsi" w:hAnsiTheme="minorHAnsi" w:cstheme="minorHAnsi"/>
                  <w:sz w:val="18"/>
                  <w:szCs w:val="18"/>
                  <w:u w:val="single"/>
                  <w:lang w:val="en-GB"/>
                </w:rPr>
                <w:t>NICD AMR surveillance dashboard</w:t>
              </w:r>
            </w:hyperlink>
            <w:r w:rsidRPr="00251A7C">
              <w:rPr>
                <w:rFonts w:asciiTheme="minorHAnsi" w:hAnsiTheme="minorHAnsi" w:cstheme="minorHAnsi"/>
                <w:i/>
                <w:sz w:val="18"/>
                <w:szCs w:val="18"/>
                <w:u w:val="single"/>
                <w:lang w:val="en-GB"/>
              </w:rPr>
              <w:t xml:space="preserve"> </w:t>
            </w:r>
          </w:p>
          <w:p w14:paraId="154CA2CE" w14:textId="77777777" w:rsidR="00F5326B" w:rsidRPr="00251A7C" w:rsidRDefault="00F5326B" w:rsidP="00F5326B">
            <w:pPr>
              <w:pStyle w:val="Medicinebullet1"/>
              <w:widowControl w:val="0"/>
              <w:ind w:left="284"/>
              <w:rPr>
                <w:rFonts w:asciiTheme="minorHAnsi" w:hAnsiTheme="minorHAnsi" w:cstheme="minorHAnsi"/>
                <w:u w:val="single"/>
                <w:lang w:val="en-GB"/>
              </w:rPr>
            </w:pPr>
          </w:p>
          <w:p w14:paraId="380E6ABD" w14:textId="77777777" w:rsidR="00F5326B" w:rsidRPr="00251A7C" w:rsidRDefault="00F5326B" w:rsidP="008F728F">
            <w:pPr>
              <w:pStyle w:val="Medicinebullet1"/>
              <w:widowControl w:val="0"/>
              <w:numPr>
                <w:ilvl w:val="0"/>
                <w:numId w:val="11"/>
              </w:numPr>
              <w:ind w:left="310" w:hanging="310"/>
              <w:rPr>
                <w:rFonts w:asciiTheme="minorHAnsi" w:hAnsiTheme="minorHAnsi" w:cstheme="minorHAnsi"/>
                <w:u w:val="single"/>
                <w:lang w:val="en-GB"/>
              </w:rPr>
            </w:pPr>
            <w:r w:rsidRPr="00251A7C">
              <w:rPr>
                <w:rFonts w:asciiTheme="minorHAnsi" w:hAnsiTheme="minorHAnsi" w:cstheme="minorHAnsi"/>
                <w:u w:val="single"/>
                <w:lang w:val="en-GB"/>
              </w:rPr>
              <w:t>Piperacillin/tazobactam, IV, 4.5 g 8 hourly.</w:t>
            </w:r>
          </w:p>
          <w:p w14:paraId="1C21AD74" w14:textId="77777777" w:rsidR="00F5326B" w:rsidRPr="00251A7C" w:rsidRDefault="00F5326B" w:rsidP="00F5326B">
            <w:pPr>
              <w:pStyle w:val="Medicinebullet1"/>
              <w:tabs>
                <w:tab w:val="left" w:pos="0"/>
              </w:tabs>
              <w:rPr>
                <w:rFonts w:asciiTheme="minorHAnsi" w:hAnsiTheme="minorHAnsi" w:cstheme="minorHAnsi"/>
                <w:b/>
                <w:u w:val="single"/>
                <w:lang w:val="en-GB"/>
              </w:rPr>
            </w:pPr>
            <w:r w:rsidRPr="00251A7C">
              <w:rPr>
                <w:rFonts w:asciiTheme="minorHAnsi" w:hAnsiTheme="minorHAnsi" w:cstheme="minorHAnsi"/>
                <w:b/>
                <w:u w:val="single"/>
                <w:lang w:val="en-GB"/>
              </w:rPr>
              <w:t>and</w:t>
            </w:r>
          </w:p>
          <w:p w14:paraId="5307F7FB" w14:textId="77777777" w:rsidR="00F5326B" w:rsidRPr="00251A7C" w:rsidRDefault="00F5326B" w:rsidP="00F5326B">
            <w:pPr>
              <w:pStyle w:val="Medicinebullet1"/>
              <w:widowControl w:val="0"/>
              <w:numPr>
                <w:ilvl w:val="0"/>
                <w:numId w:val="4"/>
              </w:numPr>
              <w:ind w:left="284" w:hanging="284"/>
              <w:rPr>
                <w:rFonts w:asciiTheme="minorHAnsi" w:hAnsiTheme="minorHAnsi" w:cstheme="minorHAnsi"/>
                <w:u w:val="single"/>
                <w:lang w:val="en-GB"/>
              </w:rPr>
            </w:pPr>
            <w:r w:rsidRPr="00251A7C">
              <w:rPr>
                <w:rFonts w:asciiTheme="minorHAnsi" w:hAnsiTheme="minorHAnsi" w:cstheme="minorHAnsi"/>
                <w:u w:val="single"/>
                <w:lang w:val="en-GB"/>
              </w:rPr>
              <w:t>Amikacin, IV, 15 mg/kg daily. (See Appendix II, for individual dosing and monitoring for response and toxicity).</w:t>
            </w:r>
          </w:p>
          <w:p w14:paraId="583D7E2E" w14:textId="77777777" w:rsidR="00F5326B" w:rsidRPr="00251A7C" w:rsidRDefault="00F5326B" w:rsidP="00F5326B">
            <w:pPr>
              <w:spacing w:after="0" w:line="240" w:lineRule="auto"/>
              <w:rPr>
                <w:rFonts w:asciiTheme="minorHAnsi" w:hAnsiTheme="minorHAnsi" w:cstheme="minorHAnsi"/>
                <w:bCs/>
                <w:sz w:val="18"/>
                <w:szCs w:val="18"/>
                <w:u w:val="single"/>
                <w:lang w:val="en-GB"/>
              </w:rPr>
            </w:pPr>
          </w:p>
          <w:p w14:paraId="4A1E988E" w14:textId="77777777" w:rsidR="00F5326B" w:rsidRPr="00251A7C" w:rsidRDefault="00F5326B" w:rsidP="00F5326B">
            <w:pPr>
              <w:spacing w:after="0" w:line="240" w:lineRule="auto"/>
              <w:rPr>
                <w:rFonts w:asciiTheme="minorHAnsi" w:hAnsiTheme="minorHAnsi" w:cstheme="minorHAnsi"/>
                <w:b/>
                <w:bCs/>
                <w:sz w:val="18"/>
                <w:szCs w:val="18"/>
                <w:u w:val="single"/>
                <w:lang w:val="en-GB"/>
              </w:rPr>
            </w:pPr>
            <w:r w:rsidRPr="00251A7C">
              <w:rPr>
                <w:rFonts w:asciiTheme="minorHAnsi" w:hAnsiTheme="minorHAnsi" w:cstheme="minorHAnsi"/>
                <w:b/>
                <w:bCs/>
                <w:sz w:val="18"/>
                <w:szCs w:val="18"/>
                <w:u w:val="single"/>
                <w:lang w:val="en-GB"/>
              </w:rPr>
              <w:t>OR ALTERNATIVE</w:t>
            </w:r>
          </w:p>
          <w:p w14:paraId="12CF645E" w14:textId="77777777" w:rsidR="00F5326B" w:rsidRPr="00251A7C" w:rsidRDefault="00F5326B" w:rsidP="00F5326B">
            <w:pPr>
              <w:pStyle w:val="Medicinebullet1"/>
              <w:widowControl w:val="0"/>
              <w:numPr>
                <w:ilvl w:val="0"/>
                <w:numId w:val="4"/>
              </w:numPr>
              <w:ind w:left="284" w:hanging="284"/>
              <w:rPr>
                <w:rFonts w:asciiTheme="minorHAnsi" w:hAnsiTheme="minorHAnsi" w:cstheme="minorHAnsi"/>
                <w:u w:val="single"/>
                <w:lang w:val="en-GB"/>
              </w:rPr>
            </w:pPr>
            <w:r w:rsidRPr="00251A7C">
              <w:rPr>
                <w:rFonts w:asciiTheme="minorHAnsi" w:hAnsiTheme="minorHAnsi" w:cstheme="minorHAnsi"/>
                <w:u w:val="single"/>
                <w:lang w:val="en-GB"/>
              </w:rPr>
              <w:t>Cefepime, IV, 2 g 12 hourly. (See Appendix II for guidance on dosing in renal impairment).</w:t>
            </w:r>
          </w:p>
          <w:p w14:paraId="6473E055" w14:textId="77777777" w:rsidR="00F5326B" w:rsidRPr="00251A7C" w:rsidRDefault="00F5326B" w:rsidP="00F5326B">
            <w:pPr>
              <w:pStyle w:val="Medicinebullet1"/>
              <w:widowControl w:val="0"/>
              <w:ind w:left="284"/>
              <w:rPr>
                <w:rFonts w:asciiTheme="minorHAnsi" w:hAnsiTheme="minorHAnsi" w:cstheme="minorHAnsi"/>
                <w:u w:val="single"/>
                <w:lang w:val="en-GB"/>
              </w:rPr>
            </w:pPr>
          </w:p>
          <w:p w14:paraId="50C57E11" w14:textId="77777777" w:rsidR="008A38D6" w:rsidRPr="00251A7C" w:rsidRDefault="008A38D6" w:rsidP="008A38D6">
            <w:pPr>
              <w:spacing w:after="0" w:line="240" w:lineRule="auto"/>
              <w:rPr>
                <w:rFonts w:asciiTheme="minorHAnsi" w:hAnsiTheme="minorHAnsi" w:cstheme="minorHAnsi"/>
                <w:b/>
                <w:sz w:val="18"/>
                <w:szCs w:val="18"/>
                <w:u w:val="single"/>
                <w:lang w:val="en-GB"/>
              </w:rPr>
            </w:pPr>
            <w:r w:rsidRPr="00251A7C">
              <w:rPr>
                <w:rFonts w:asciiTheme="minorHAnsi" w:hAnsiTheme="minorHAnsi" w:cstheme="minorHAnsi"/>
                <w:b/>
                <w:sz w:val="18"/>
                <w:szCs w:val="18"/>
                <w:u w:val="single"/>
                <w:lang w:val="en-GB"/>
              </w:rPr>
              <w:t>IF HIGH LOCAL RESISTANCE RATES TO THE ABOVE REGIMENS, THEN CONSIDER CARBAPENEM</w:t>
            </w:r>
          </w:p>
          <w:p w14:paraId="43823B60" w14:textId="77777777" w:rsidR="008A38D6" w:rsidRPr="00251A7C" w:rsidRDefault="008A38D6" w:rsidP="008A38D6">
            <w:pPr>
              <w:spacing w:after="0" w:line="240" w:lineRule="auto"/>
              <w:rPr>
                <w:rFonts w:asciiTheme="minorHAnsi" w:hAnsiTheme="minorHAnsi" w:cstheme="minorHAnsi"/>
                <w:sz w:val="18"/>
                <w:szCs w:val="18"/>
                <w:u w:val="single"/>
                <w:lang w:val="en-GB"/>
              </w:rPr>
            </w:pPr>
            <w:r w:rsidRPr="00251A7C">
              <w:rPr>
                <w:rFonts w:asciiTheme="minorHAnsi" w:hAnsiTheme="minorHAnsi" w:cstheme="minorHAnsi"/>
                <w:sz w:val="18"/>
                <w:szCs w:val="18"/>
                <w:u w:val="single"/>
                <w:lang w:val="en-GB"/>
              </w:rPr>
              <w:t xml:space="preserve">Instead of piperacillin/tazobactam + amikacin </w:t>
            </w:r>
            <w:r w:rsidRPr="00251A7C">
              <w:rPr>
                <w:rFonts w:asciiTheme="minorHAnsi" w:hAnsiTheme="minorHAnsi" w:cstheme="minorHAnsi"/>
                <w:b/>
                <w:sz w:val="18"/>
                <w:szCs w:val="18"/>
                <w:u w:val="single"/>
                <w:lang w:val="en-GB"/>
              </w:rPr>
              <w:t>OR</w:t>
            </w:r>
            <w:r w:rsidRPr="00251A7C">
              <w:rPr>
                <w:rFonts w:asciiTheme="minorHAnsi" w:hAnsiTheme="minorHAnsi" w:cstheme="minorHAnsi"/>
                <w:sz w:val="18"/>
                <w:szCs w:val="18"/>
                <w:u w:val="single"/>
                <w:lang w:val="en-GB"/>
              </w:rPr>
              <w:t xml:space="preserve"> cefepime:</w:t>
            </w:r>
          </w:p>
          <w:p w14:paraId="762CAC9C" w14:textId="77777777" w:rsidR="008A38D6" w:rsidRPr="00251A7C" w:rsidRDefault="008A38D6" w:rsidP="008A38D6">
            <w:pPr>
              <w:tabs>
                <w:tab w:val="left" w:pos="284"/>
              </w:tabs>
              <w:spacing w:after="0" w:line="240" w:lineRule="auto"/>
              <w:rPr>
                <w:rFonts w:asciiTheme="minorHAnsi" w:hAnsiTheme="minorHAnsi" w:cstheme="minorHAnsi"/>
                <w:sz w:val="18"/>
                <w:szCs w:val="18"/>
                <w:u w:val="single"/>
                <w:lang w:val="en-GB"/>
              </w:rPr>
            </w:pPr>
            <w:r w:rsidRPr="00251A7C">
              <w:rPr>
                <w:rFonts w:asciiTheme="minorHAnsi" w:hAnsiTheme="minorHAnsi" w:cstheme="minorHAnsi"/>
                <w:sz w:val="18"/>
                <w:szCs w:val="18"/>
                <w:u w:val="single"/>
                <w:lang w:val="en-GB"/>
              </w:rPr>
              <w:t>Carbapenem with activity against Pseudomonas:</w:t>
            </w:r>
          </w:p>
          <w:p w14:paraId="73DF938C" w14:textId="1BB611A2" w:rsidR="008F728F" w:rsidRPr="00251A7C" w:rsidRDefault="008A38D6" w:rsidP="008F728F">
            <w:pPr>
              <w:pStyle w:val="Medicinebullet1"/>
              <w:widowControl w:val="0"/>
              <w:numPr>
                <w:ilvl w:val="0"/>
                <w:numId w:val="4"/>
              </w:numPr>
              <w:rPr>
                <w:rFonts w:asciiTheme="minorHAnsi" w:hAnsiTheme="minorHAnsi" w:cstheme="minorHAnsi"/>
                <w:u w:val="single"/>
                <w:lang w:val="en-GB"/>
              </w:rPr>
            </w:pPr>
            <w:r w:rsidRPr="00251A7C">
              <w:rPr>
                <w:rFonts w:asciiTheme="minorHAnsi" w:hAnsiTheme="minorHAnsi" w:cstheme="minorHAnsi"/>
                <w:u w:val="single"/>
                <w:lang w:val="en-GB"/>
              </w:rPr>
              <w:t>Imipenem/cilast</w:t>
            </w:r>
            <w:r w:rsidR="00583229">
              <w:rPr>
                <w:rFonts w:asciiTheme="minorHAnsi" w:hAnsiTheme="minorHAnsi" w:cstheme="minorHAnsi"/>
                <w:u w:val="single"/>
                <w:lang w:val="en-GB"/>
              </w:rPr>
              <w:t>i</w:t>
            </w:r>
            <w:r w:rsidRPr="00251A7C">
              <w:rPr>
                <w:rFonts w:asciiTheme="minorHAnsi" w:hAnsiTheme="minorHAnsi" w:cstheme="minorHAnsi"/>
                <w:u w:val="single"/>
                <w:lang w:val="en-GB"/>
              </w:rPr>
              <w:t>n, IV, 1000/1000 mg 8 hourly</w:t>
            </w:r>
            <w:r w:rsidR="008F728F" w:rsidRPr="00251A7C">
              <w:rPr>
                <w:rFonts w:asciiTheme="minorHAnsi" w:hAnsiTheme="minorHAnsi" w:cstheme="minorHAnsi"/>
                <w:u w:val="single"/>
                <w:lang w:val="en-GB"/>
              </w:rPr>
              <w:t>.</w:t>
            </w:r>
          </w:p>
          <w:p w14:paraId="75210B0E" w14:textId="2A093F3F" w:rsidR="00392799" w:rsidRPr="00251A7C" w:rsidRDefault="00392799" w:rsidP="008F728F">
            <w:pPr>
              <w:pStyle w:val="Medicinebullet1"/>
              <w:widowControl w:val="0"/>
              <w:rPr>
                <w:rFonts w:asciiTheme="minorHAnsi" w:hAnsiTheme="minorHAnsi" w:cstheme="minorHAnsi"/>
                <w:u w:val="single"/>
                <w:lang w:val="en-GB"/>
              </w:rPr>
            </w:pPr>
            <w:r w:rsidRPr="00251A7C">
              <w:rPr>
                <w:rFonts w:asciiTheme="minorHAnsi" w:hAnsiTheme="minorHAnsi" w:cstheme="minorHAnsi"/>
                <w:b/>
                <w:bCs/>
                <w:u w:val="single"/>
                <w:lang w:val="en-GB"/>
              </w:rPr>
              <w:t>Note</w:t>
            </w:r>
            <w:r w:rsidRPr="00251A7C">
              <w:rPr>
                <w:rFonts w:asciiTheme="minorHAnsi" w:hAnsiTheme="minorHAnsi" w:cstheme="minorHAnsi"/>
                <w:u w:val="single"/>
                <w:lang w:val="en-GB"/>
              </w:rPr>
              <w:t>: Do not use im</w:t>
            </w:r>
            <w:r w:rsidR="008F728F" w:rsidRPr="00251A7C">
              <w:rPr>
                <w:rFonts w:asciiTheme="minorHAnsi" w:hAnsiTheme="minorHAnsi" w:cstheme="minorHAnsi"/>
                <w:u w:val="single"/>
                <w:lang w:val="en-GB"/>
              </w:rPr>
              <w:t>ipenem/cilastin in patients with central nervous system disorders or history of seizures.</w:t>
            </w:r>
            <w:r w:rsidRPr="00251A7C">
              <w:rPr>
                <w:rFonts w:asciiTheme="minorHAnsi" w:hAnsiTheme="minorHAnsi" w:cstheme="minorHAnsi"/>
                <w:u w:val="single"/>
                <w:lang w:val="en-GB"/>
              </w:rPr>
              <w:t xml:space="preserve"> for patients with known epilepsy – use meropenem.</w:t>
            </w:r>
          </w:p>
          <w:p w14:paraId="3ABBB2E6" w14:textId="77777777" w:rsidR="00F5326B" w:rsidRPr="00251A7C" w:rsidRDefault="00F5326B" w:rsidP="00F5326B">
            <w:pPr>
              <w:pStyle w:val="Medicinebullet1"/>
              <w:ind w:left="360"/>
              <w:rPr>
                <w:rFonts w:asciiTheme="minorHAnsi" w:hAnsiTheme="minorHAnsi" w:cstheme="minorHAnsi"/>
                <w:strike/>
                <w:u w:val="single"/>
                <w:lang w:val="en-GB"/>
              </w:rPr>
            </w:pPr>
          </w:p>
          <w:p w14:paraId="4DCB0103" w14:textId="77777777" w:rsidR="00F5326B" w:rsidRPr="00251A7C" w:rsidRDefault="00F5326B" w:rsidP="00F5326B">
            <w:pPr>
              <w:pStyle w:val="Medicinebullet1"/>
              <w:rPr>
                <w:rFonts w:asciiTheme="minorHAnsi" w:hAnsiTheme="minorHAnsi" w:cstheme="minorHAnsi"/>
                <w:b/>
                <w:u w:val="single"/>
                <w:lang w:val="en-GB"/>
              </w:rPr>
            </w:pPr>
            <w:r w:rsidRPr="00251A7C">
              <w:rPr>
                <w:rFonts w:asciiTheme="minorHAnsi" w:hAnsiTheme="minorHAnsi" w:cstheme="minorHAnsi"/>
                <w:b/>
                <w:u w:val="single"/>
                <w:lang w:val="en-GB"/>
              </w:rPr>
              <w:t xml:space="preserve">OR </w:t>
            </w:r>
          </w:p>
          <w:p w14:paraId="7FF2B9A9" w14:textId="77777777" w:rsidR="00F5326B" w:rsidRPr="00251A7C" w:rsidRDefault="00F5326B" w:rsidP="00F5326B">
            <w:pPr>
              <w:pStyle w:val="Medicinebullet1"/>
              <w:widowControl w:val="0"/>
              <w:rPr>
                <w:rFonts w:asciiTheme="minorHAnsi" w:hAnsiTheme="minorHAnsi" w:cstheme="minorHAnsi"/>
                <w:u w:val="single"/>
                <w:lang w:val="en-GB"/>
              </w:rPr>
            </w:pPr>
            <w:r w:rsidRPr="00251A7C">
              <w:rPr>
                <w:rFonts w:asciiTheme="minorHAnsi" w:hAnsiTheme="minorHAnsi" w:cstheme="minorHAnsi"/>
                <w:u w:val="single"/>
                <w:lang w:val="en-GB"/>
              </w:rPr>
              <w:t xml:space="preserve">Instead of piperacillin/tazobactam + amikacin </w:t>
            </w:r>
            <w:r w:rsidRPr="00251A7C">
              <w:rPr>
                <w:rFonts w:asciiTheme="minorHAnsi" w:hAnsiTheme="minorHAnsi" w:cstheme="minorHAnsi"/>
                <w:b/>
                <w:u w:val="single"/>
                <w:lang w:val="en-GB"/>
              </w:rPr>
              <w:t>OR</w:t>
            </w:r>
            <w:r w:rsidRPr="00251A7C">
              <w:rPr>
                <w:rFonts w:asciiTheme="minorHAnsi" w:hAnsiTheme="minorHAnsi" w:cstheme="minorHAnsi"/>
                <w:u w:val="single"/>
                <w:lang w:val="en-GB"/>
              </w:rPr>
              <w:t xml:space="preserve"> cefepime </w:t>
            </w:r>
            <w:r w:rsidRPr="00251A7C">
              <w:rPr>
                <w:rFonts w:asciiTheme="minorHAnsi" w:hAnsiTheme="minorHAnsi" w:cstheme="minorHAnsi"/>
                <w:b/>
                <w:u w:val="single"/>
                <w:lang w:val="en-GB"/>
              </w:rPr>
              <w:t xml:space="preserve">OR </w:t>
            </w:r>
            <w:r w:rsidRPr="00251A7C">
              <w:rPr>
                <w:rFonts w:asciiTheme="minorHAnsi" w:hAnsiTheme="minorHAnsi" w:cstheme="minorHAnsi"/>
                <w:u w:val="single"/>
                <w:lang w:val="en-GB"/>
              </w:rPr>
              <w:t>imipenem:</w:t>
            </w:r>
          </w:p>
          <w:p w14:paraId="1DC985FA" w14:textId="6AEFDF46" w:rsidR="00F5326B" w:rsidRPr="00251A7C" w:rsidRDefault="00F5326B" w:rsidP="00F5326B">
            <w:pPr>
              <w:pStyle w:val="Medicinebullet1"/>
              <w:widowControl w:val="0"/>
              <w:numPr>
                <w:ilvl w:val="0"/>
                <w:numId w:val="4"/>
              </w:numPr>
              <w:ind w:left="284" w:hanging="284"/>
              <w:rPr>
                <w:rFonts w:asciiTheme="minorHAnsi" w:hAnsiTheme="minorHAnsi" w:cstheme="minorHAnsi"/>
                <w:u w:val="single"/>
                <w:lang w:val="en-GB"/>
              </w:rPr>
            </w:pPr>
            <w:r w:rsidRPr="00251A7C">
              <w:rPr>
                <w:rFonts w:asciiTheme="minorHAnsi" w:hAnsiTheme="minorHAnsi" w:cstheme="minorHAnsi"/>
                <w:u w:val="single"/>
                <w:lang w:val="en-GB"/>
              </w:rPr>
              <w:t xml:space="preserve">Meropenem, IV, 2 g 8 hourly </w:t>
            </w:r>
          </w:p>
          <w:p w14:paraId="7FB45163" w14:textId="77777777" w:rsidR="00F5326B" w:rsidRPr="00251A7C" w:rsidRDefault="00F5326B" w:rsidP="00F5326B">
            <w:pPr>
              <w:pStyle w:val="Medicinebullet1"/>
              <w:rPr>
                <w:rFonts w:asciiTheme="minorHAnsi" w:hAnsiTheme="minorHAnsi" w:cstheme="minorHAnsi"/>
                <w:b/>
                <w:u w:val="single"/>
                <w:lang w:val="en-GB"/>
              </w:rPr>
            </w:pPr>
          </w:p>
          <w:p w14:paraId="567047D4" w14:textId="42C0F643" w:rsidR="00F5326B" w:rsidRPr="00251A7C" w:rsidRDefault="00F5326B" w:rsidP="00F5326B">
            <w:pPr>
              <w:pStyle w:val="Medicinebullet1"/>
              <w:rPr>
                <w:rFonts w:asciiTheme="minorHAnsi" w:hAnsiTheme="minorHAnsi" w:cstheme="minorHAnsi"/>
                <w:u w:val="single"/>
                <w:lang w:val="en-GB"/>
              </w:rPr>
            </w:pPr>
            <w:r w:rsidRPr="00251A7C">
              <w:rPr>
                <w:rFonts w:asciiTheme="minorHAnsi" w:hAnsiTheme="minorHAnsi" w:cstheme="minorHAnsi"/>
                <w:b/>
                <w:u w:val="single"/>
                <w:lang w:val="en-GB"/>
              </w:rPr>
              <w:t>Note:</w:t>
            </w:r>
            <w:r w:rsidRPr="00251A7C">
              <w:rPr>
                <w:rFonts w:asciiTheme="minorHAnsi" w:hAnsiTheme="minorHAnsi" w:cstheme="minorHAnsi"/>
                <w:u w:val="single"/>
                <w:lang w:val="en-GB"/>
              </w:rPr>
              <w:t xml:space="preserve"> </w:t>
            </w:r>
          </w:p>
          <w:p w14:paraId="2C80777E" w14:textId="77777777" w:rsidR="00F5326B" w:rsidRPr="00251A7C" w:rsidRDefault="00F5326B" w:rsidP="00F5326B">
            <w:pPr>
              <w:pStyle w:val="Medicinebullet1"/>
              <w:numPr>
                <w:ilvl w:val="0"/>
                <w:numId w:val="9"/>
              </w:numPr>
              <w:ind w:left="284" w:hanging="284"/>
              <w:rPr>
                <w:rFonts w:asciiTheme="minorHAnsi" w:hAnsiTheme="minorHAnsi" w:cstheme="minorHAnsi"/>
                <w:u w:val="single"/>
                <w:lang w:val="en-GB"/>
              </w:rPr>
            </w:pPr>
            <w:r w:rsidRPr="00251A7C">
              <w:rPr>
                <w:rFonts w:asciiTheme="minorHAnsi" w:hAnsiTheme="minorHAnsi" w:cstheme="minorHAnsi"/>
                <w:u w:val="single"/>
                <w:lang w:val="en-GB"/>
              </w:rPr>
              <w:t>De-escalate as soon as the culture is available.</w:t>
            </w:r>
          </w:p>
          <w:p w14:paraId="4462FAC8" w14:textId="1834E3BE" w:rsidR="004A4013" w:rsidRPr="00251A7C" w:rsidRDefault="00F5326B" w:rsidP="00F5326B">
            <w:pPr>
              <w:pStyle w:val="Medicinebullet1"/>
              <w:numPr>
                <w:ilvl w:val="0"/>
                <w:numId w:val="9"/>
              </w:numPr>
              <w:ind w:left="284" w:hanging="284"/>
              <w:rPr>
                <w:rFonts w:asciiTheme="minorHAnsi" w:hAnsiTheme="minorHAnsi" w:cstheme="minorHAnsi"/>
                <w:u w:val="single"/>
                <w:lang w:val="en-GB"/>
              </w:rPr>
            </w:pPr>
            <w:r w:rsidRPr="00251A7C">
              <w:rPr>
                <w:rFonts w:asciiTheme="minorHAnsi" w:hAnsiTheme="minorHAnsi" w:cstheme="minorHAnsi"/>
                <w:u w:val="single"/>
                <w:lang w:val="en-GB"/>
              </w:rPr>
              <w:t>For severe pencillin allergy, consult an infectious diseases specialist or microbiologist.</w:t>
            </w:r>
          </w:p>
        </w:tc>
      </w:tr>
    </w:tbl>
    <w:p w14:paraId="4DE37A83" w14:textId="45C2F16A" w:rsidR="004A4013" w:rsidRPr="00251A7C" w:rsidRDefault="008F728F" w:rsidP="00E338E1">
      <w:pPr>
        <w:autoSpaceDE w:val="0"/>
        <w:autoSpaceDN w:val="0"/>
        <w:adjustRightInd w:val="0"/>
        <w:spacing w:after="0" w:line="240" w:lineRule="auto"/>
        <w:jc w:val="both"/>
        <w:rPr>
          <w:b/>
          <w:bCs/>
          <w:lang w:val="en-GB"/>
        </w:rPr>
      </w:pPr>
      <w:r w:rsidRPr="00251A7C">
        <w:rPr>
          <w:b/>
          <w:bCs/>
          <w:lang w:val="en-GB"/>
        </w:rPr>
        <w:lastRenderedPageBreak/>
        <w:t>Level of Evidence: Guidelines</w:t>
      </w:r>
      <w:r w:rsidR="0044252C" w:rsidRPr="00251A7C">
        <w:rPr>
          <w:rStyle w:val="FootnoteReference"/>
          <w:b/>
          <w:bCs/>
          <w:lang w:val="en-GB"/>
        </w:rPr>
        <w:footnoteReference w:id="4"/>
      </w:r>
    </w:p>
    <w:p w14:paraId="0B1ED226" w14:textId="77777777" w:rsidR="0044252C" w:rsidRPr="00251A7C" w:rsidRDefault="0044252C" w:rsidP="00E338E1">
      <w:pPr>
        <w:autoSpaceDE w:val="0"/>
        <w:autoSpaceDN w:val="0"/>
        <w:adjustRightInd w:val="0"/>
        <w:spacing w:after="0" w:line="240" w:lineRule="auto"/>
        <w:jc w:val="both"/>
        <w:rPr>
          <w:lang w:val="en-GB"/>
        </w:rPr>
      </w:pPr>
    </w:p>
    <w:p w14:paraId="5452FF1A" w14:textId="40FA18B9" w:rsidR="00F5326B" w:rsidRPr="00251A7C" w:rsidRDefault="00F5326B" w:rsidP="00E338E1">
      <w:pPr>
        <w:autoSpaceDE w:val="0"/>
        <w:autoSpaceDN w:val="0"/>
        <w:adjustRightInd w:val="0"/>
        <w:spacing w:after="0" w:line="240" w:lineRule="auto"/>
        <w:jc w:val="both"/>
        <w:rPr>
          <w:lang w:val="en-GB"/>
        </w:rPr>
      </w:pPr>
      <w:r w:rsidRPr="00251A7C">
        <w:rPr>
          <w:lang w:val="en-GB"/>
        </w:rPr>
        <w:t>And the following STG text was added</w:t>
      </w:r>
      <w:r w:rsidR="00251A7C" w:rsidRPr="00251A7C">
        <w:rPr>
          <w:lang w:val="en-GB"/>
        </w:rPr>
        <w:t>, providing a cross-reference to section 2.2</w:t>
      </w:r>
      <w:r w:rsidR="00503408">
        <w:rPr>
          <w:lang w:val="en-GB"/>
        </w:rPr>
        <w:t xml:space="preserve"> for the management of</w:t>
      </w:r>
      <w:r w:rsidR="00251A7C" w:rsidRPr="00251A7C">
        <w:rPr>
          <w:lang w:val="en-GB"/>
        </w:rPr>
        <w:t xml:space="preserve"> </w:t>
      </w:r>
      <w:r w:rsidR="00503408">
        <w:rPr>
          <w:lang w:val="en-GB"/>
        </w:rPr>
        <w:t>f</w:t>
      </w:r>
      <w:r w:rsidR="00503408" w:rsidRPr="00251A7C">
        <w:rPr>
          <w:lang w:val="en-GB"/>
        </w:rPr>
        <w:t xml:space="preserve">ebrile </w:t>
      </w:r>
      <w:r w:rsidR="00251A7C" w:rsidRPr="00251A7C">
        <w:rPr>
          <w:lang w:val="en-GB"/>
        </w:rPr>
        <w:t>neutropenia</w:t>
      </w:r>
      <w:r w:rsidRPr="00251A7C">
        <w:rPr>
          <w:lang w:val="en-GB"/>
        </w:rPr>
        <w:t>:</w:t>
      </w:r>
    </w:p>
    <w:tbl>
      <w:tblPr>
        <w:tblStyle w:val="TableGrid"/>
        <w:tblW w:w="0" w:type="auto"/>
        <w:tblLook w:val="04A0" w:firstRow="1" w:lastRow="0" w:firstColumn="1" w:lastColumn="0" w:noHBand="0" w:noVBand="1"/>
      </w:tblPr>
      <w:tblGrid>
        <w:gridCol w:w="10456"/>
      </w:tblGrid>
      <w:tr w:rsidR="00F5326B" w:rsidRPr="00251A7C" w14:paraId="118505CA" w14:textId="77777777" w:rsidTr="00F5326B">
        <w:tc>
          <w:tcPr>
            <w:tcW w:w="10456" w:type="dxa"/>
          </w:tcPr>
          <w:p w14:paraId="7AE07F6A" w14:textId="77988969" w:rsidR="00F5326B" w:rsidRPr="00251A7C" w:rsidRDefault="00F5326B" w:rsidP="00F5326B">
            <w:pPr>
              <w:pStyle w:val="Medicinebullet1"/>
              <w:spacing w:line="276" w:lineRule="auto"/>
              <w:jc w:val="both"/>
              <w:rPr>
                <w:rFonts w:asciiTheme="minorHAnsi" w:hAnsiTheme="minorHAnsi" w:cstheme="minorHAnsi"/>
                <w:sz w:val="20"/>
                <w:szCs w:val="20"/>
                <w:u w:val="single"/>
                <w:lang w:val="en-GB"/>
              </w:rPr>
            </w:pPr>
            <w:r w:rsidRPr="00251A7C">
              <w:rPr>
                <w:rFonts w:asciiTheme="minorHAnsi" w:hAnsiTheme="minorHAnsi" w:cstheme="minorHAnsi"/>
                <w:b/>
                <w:bCs/>
                <w:sz w:val="20"/>
                <w:szCs w:val="20"/>
                <w:u w:val="single"/>
                <w:lang w:val="en-GB"/>
              </w:rPr>
              <w:t>Note:</w:t>
            </w:r>
            <w:r w:rsidRPr="00251A7C">
              <w:rPr>
                <w:rFonts w:asciiTheme="minorHAnsi" w:hAnsiTheme="minorHAnsi" w:cstheme="minorHAnsi"/>
                <w:sz w:val="20"/>
                <w:szCs w:val="20"/>
                <w:u w:val="single"/>
                <w:lang w:val="en-GB"/>
              </w:rPr>
              <w:t xml:space="preserve"> If patient is neutropaenic - See section 2.2: Febrile neutropenia.</w:t>
            </w:r>
          </w:p>
        </w:tc>
      </w:tr>
    </w:tbl>
    <w:p w14:paraId="233B4F68" w14:textId="77777777" w:rsidR="00F5326B" w:rsidRPr="00251A7C" w:rsidRDefault="00F5326B" w:rsidP="00E338E1">
      <w:pPr>
        <w:autoSpaceDE w:val="0"/>
        <w:autoSpaceDN w:val="0"/>
        <w:adjustRightInd w:val="0"/>
        <w:spacing w:after="0" w:line="240" w:lineRule="auto"/>
        <w:jc w:val="both"/>
        <w:rPr>
          <w:lang w:val="en-GB"/>
        </w:rPr>
      </w:pPr>
    </w:p>
    <w:p w14:paraId="5877BB20" w14:textId="77777777" w:rsidR="00BF3233" w:rsidRPr="00251A7C" w:rsidRDefault="00BF3233" w:rsidP="00E338E1">
      <w:pPr>
        <w:autoSpaceDE w:val="0"/>
        <w:autoSpaceDN w:val="0"/>
        <w:adjustRightInd w:val="0"/>
        <w:spacing w:after="0" w:line="240" w:lineRule="auto"/>
        <w:jc w:val="both"/>
        <w:rPr>
          <w:lang w:val="en-GB"/>
        </w:rPr>
      </w:pPr>
    </w:p>
    <w:tbl>
      <w:tblPr>
        <w:tblW w:w="5000" w:type="pct"/>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firstRow="1" w:lastRow="0" w:firstColumn="1" w:lastColumn="0" w:noHBand="0" w:noVBand="0"/>
      </w:tblPr>
      <w:tblGrid>
        <w:gridCol w:w="10436"/>
      </w:tblGrid>
      <w:tr w:rsidR="008F728F" w:rsidRPr="00251A7C" w14:paraId="7BBAAC8D" w14:textId="77777777" w:rsidTr="00EA2412">
        <w:tc>
          <w:tcPr>
            <w:tcW w:w="5000" w:type="pct"/>
            <w:tcBorders>
              <w:top w:val="double" w:sz="4" w:space="0" w:color="C0C0C0"/>
              <w:left w:val="double" w:sz="4" w:space="0" w:color="C0C0C0"/>
              <w:bottom w:val="double" w:sz="4" w:space="0" w:color="C0C0C0"/>
              <w:right w:val="double" w:sz="4" w:space="0" w:color="C0C0C0"/>
            </w:tcBorders>
          </w:tcPr>
          <w:p w14:paraId="4A06A37C" w14:textId="45639112" w:rsidR="00BF3233" w:rsidRPr="00251A7C" w:rsidRDefault="00BF3233" w:rsidP="00EA2412">
            <w:pPr>
              <w:widowControl w:val="0"/>
              <w:autoSpaceDE w:val="0"/>
              <w:autoSpaceDN w:val="0"/>
              <w:adjustRightInd w:val="0"/>
              <w:spacing w:before="120" w:after="120" w:line="240" w:lineRule="auto"/>
              <w:rPr>
                <w:rFonts w:cs="Calibri"/>
                <w:b/>
                <w:lang w:val="en-GB"/>
              </w:rPr>
            </w:pPr>
            <w:r w:rsidRPr="00251A7C">
              <w:rPr>
                <w:rFonts w:cs="Calibri"/>
                <w:b/>
                <w:spacing w:val="-4"/>
                <w:szCs w:val="20"/>
                <w:lang w:val="en-GB"/>
              </w:rPr>
              <w:t>9.2 ADULT VACCINATION</w:t>
            </w:r>
          </w:p>
        </w:tc>
      </w:tr>
    </w:tbl>
    <w:p w14:paraId="19311A5A" w14:textId="3C16EFD5" w:rsidR="00BF3233" w:rsidRPr="00251A7C" w:rsidRDefault="00BF3233" w:rsidP="00E338E1">
      <w:pPr>
        <w:autoSpaceDE w:val="0"/>
        <w:autoSpaceDN w:val="0"/>
        <w:adjustRightInd w:val="0"/>
        <w:spacing w:after="0" w:line="240" w:lineRule="auto"/>
        <w:jc w:val="both"/>
        <w:rPr>
          <w:i/>
          <w:iCs/>
          <w:lang w:val="en-GB"/>
        </w:rPr>
      </w:pPr>
      <w:r w:rsidRPr="00251A7C">
        <w:rPr>
          <w:u w:val="single"/>
          <w:lang w:val="en-GB"/>
        </w:rPr>
        <w:t>COVID-19 vaccination:</w:t>
      </w:r>
      <w:r w:rsidRPr="00251A7C">
        <w:rPr>
          <w:lang w:val="en-GB"/>
        </w:rPr>
        <w:t xml:space="preserve"> </w:t>
      </w:r>
      <w:r w:rsidRPr="00251A7C">
        <w:rPr>
          <w:i/>
          <w:iCs/>
          <w:lang w:val="en-GB"/>
        </w:rPr>
        <w:t>guidance added</w:t>
      </w:r>
    </w:p>
    <w:p w14:paraId="56FB9C1D" w14:textId="58329CD0" w:rsidR="00BF3233" w:rsidRPr="00251A7C" w:rsidRDefault="00BF3233" w:rsidP="00E338E1">
      <w:pPr>
        <w:autoSpaceDE w:val="0"/>
        <w:autoSpaceDN w:val="0"/>
        <w:adjustRightInd w:val="0"/>
        <w:spacing w:after="0" w:line="240" w:lineRule="auto"/>
        <w:jc w:val="both"/>
        <w:rPr>
          <w:lang w:val="en-GB"/>
        </w:rPr>
      </w:pPr>
      <w:r w:rsidRPr="00251A7C">
        <w:rPr>
          <w:lang w:val="en-GB"/>
        </w:rPr>
        <w:t>As COVID vaccination recommendations are being updated regularly as new evidence emerges, guidance was provided to consult the latest National Department of Health vaccine policy recommendations.</w:t>
      </w:r>
    </w:p>
    <w:p w14:paraId="28B6B274" w14:textId="781098DE" w:rsidR="00BF3233" w:rsidRDefault="00BF3233" w:rsidP="00E338E1">
      <w:pPr>
        <w:autoSpaceDE w:val="0"/>
        <w:autoSpaceDN w:val="0"/>
        <w:adjustRightInd w:val="0"/>
        <w:spacing w:after="0" w:line="240" w:lineRule="auto"/>
        <w:jc w:val="both"/>
        <w:rPr>
          <w:lang w:val="en-GB"/>
        </w:rPr>
      </w:pPr>
    </w:p>
    <w:p w14:paraId="2FC56660" w14:textId="77777777" w:rsidR="00503408" w:rsidRPr="00251A7C" w:rsidRDefault="00503408" w:rsidP="00E338E1">
      <w:pPr>
        <w:autoSpaceDE w:val="0"/>
        <w:autoSpaceDN w:val="0"/>
        <w:adjustRightInd w:val="0"/>
        <w:spacing w:after="0" w:line="240" w:lineRule="auto"/>
        <w:jc w:val="both"/>
        <w:rPr>
          <w:lang w:val="en-GB"/>
        </w:rPr>
      </w:pPr>
    </w:p>
    <w:tbl>
      <w:tblPr>
        <w:tblW w:w="5000" w:type="pct"/>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firstRow="1" w:lastRow="0" w:firstColumn="1" w:lastColumn="0" w:noHBand="0" w:noVBand="0"/>
      </w:tblPr>
      <w:tblGrid>
        <w:gridCol w:w="10436"/>
      </w:tblGrid>
      <w:tr w:rsidR="008F728F" w:rsidRPr="00251A7C" w14:paraId="08A67E8E" w14:textId="77777777" w:rsidTr="00EA2412">
        <w:tc>
          <w:tcPr>
            <w:tcW w:w="5000" w:type="pct"/>
            <w:tcBorders>
              <w:top w:val="double" w:sz="4" w:space="0" w:color="C0C0C0"/>
              <w:left w:val="double" w:sz="4" w:space="0" w:color="C0C0C0"/>
              <w:bottom w:val="double" w:sz="4" w:space="0" w:color="C0C0C0"/>
              <w:right w:val="double" w:sz="4" w:space="0" w:color="C0C0C0"/>
            </w:tcBorders>
          </w:tcPr>
          <w:p w14:paraId="14C9469C" w14:textId="7DC7AD55" w:rsidR="00BF3233" w:rsidRPr="00251A7C" w:rsidRDefault="00BF3233" w:rsidP="00EA2412">
            <w:pPr>
              <w:widowControl w:val="0"/>
              <w:autoSpaceDE w:val="0"/>
              <w:autoSpaceDN w:val="0"/>
              <w:adjustRightInd w:val="0"/>
              <w:spacing w:before="120" w:after="120" w:line="240" w:lineRule="auto"/>
              <w:rPr>
                <w:rFonts w:cs="Calibri"/>
                <w:b/>
                <w:lang w:val="en-GB"/>
              </w:rPr>
            </w:pPr>
            <w:r w:rsidRPr="00251A7C">
              <w:rPr>
                <w:rFonts w:cs="Calibri"/>
                <w:b/>
                <w:spacing w:val="-4"/>
                <w:szCs w:val="20"/>
                <w:lang w:val="en-GB"/>
              </w:rPr>
              <w:t>9.10 TICK BITE FEVER</w:t>
            </w:r>
          </w:p>
        </w:tc>
      </w:tr>
    </w:tbl>
    <w:p w14:paraId="7137AA7F" w14:textId="77777777" w:rsidR="00616CB2" w:rsidRPr="00503408" w:rsidRDefault="00616CB2" w:rsidP="00616CB2">
      <w:pPr>
        <w:spacing w:after="0" w:line="240" w:lineRule="auto"/>
        <w:contextualSpacing/>
        <w:jc w:val="both"/>
        <w:rPr>
          <w:rFonts w:cs="Calibri"/>
          <w:b/>
          <w:u w:val="single"/>
          <w:lang w:val="en-GB"/>
        </w:rPr>
      </w:pPr>
      <w:r w:rsidRPr="00503408">
        <w:rPr>
          <w:rFonts w:cs="Calibri"/>
          <w:b/>
          <w:u w:val="single"/>
          <w:lang w:val="en-GB"/>
        </w:rPr>
        <w:t>In pregnancy</w:t>
      </w:r>
    </w:p>
    <w:p w14:paraId="7F94BF05" w14:textId="77777777" w:rsidR="00616CB2" w:rsidRPr="00503408" w:rsidRDefault="00616CB2" w:rsidP="00616CB2">
      <w:pPr>
        <w:spacing w:after="0" w:line="240" w:lineRule="auto"/>
        <w:contextualSpacing/>
        <w:jc w:val="both"/>
        <w:rPr>
          <w:rFonts w:cs="Calibri"/>
          <w:i/>
          <w:lang w:val="en-GB"/>
        </w:rPr>
      </w:pPr>
      <w:r w:rsidRPr="00503408">
        <w:rPr>
          <w:rFonts w:cs="Calibri"/>
          <w:u w:val="single"/>
          <w:lang w:val="en-GB"/>
        </w:rPr>
        <w:t>Doxycycline:</w:t>
      </w:r>
      <w:r w:rsidRPr="00503408">
        <w:rPr>
          <w:rFonts w:cs="Calibri"/>
          <w:b/>
          <w:lang w:val="en-GB"/>
        </w:rPr>
        <w:t xml:space="preserve"> </w:t>
      </w:r>
      <w:r w:rsidRPr="00503408">
        <w:rPr>
          <w:rFonts w:cs="Calibri"/>
          <w:i/>
          <w:lang w:val="en-GB"/>
        </w:rPr>
        <w:t>Added as initial therapy</w:t>
      </w:r>
    </w:p>
    <w:p w14:paraId="087130CF" w14:textId="77777777" w:rsidR="00616CB2" w:rsidRPr="00503408" w:rsidRDefault="00616CB2" w:rsidP="00616CB2">
      <w:pPr>
        <w:spacing w:after="0" w:line="240" w:lineRule="auto"/>
        <w:contextualSpacing/>
        <w:jc w:val="both"/>
        <w:rPr>
          <w:rFonts w:cs="Calibri"/>
          <w:i/>
          <w:lang w:val="en-GB"/>
        </w:rPr>
      </w:pPr>
      <w:r w:rsidRPr="00503408">
        <w:rPr>
          <w:rFonts w:cs="Calibri"/>
          <w:u w:val="single"/>
          <w:lang w:val="en-GB"/>
        </w:rPr>
        <w:t xml:space="preserve">Azithromycin: </w:t>
      </w:r>
      <w:r w:rsidRPr="00503408">
        <w:rPr>
          <w:rFonts w:cs="Calibri"/>
          <w:i/>
          <w:lang w:val="en-GB"/>
        </w:rPr>
        <w:t>Retained</w:t>
      </w:r>
    </w:p>
    <w:p w14:paraId="5F06F8C7" w14:textId="28AA2871" w:rsidR="00BF3233" w:rsidRPr="00503408" w:rsidRDefault="00BF3233" w:rsidP="00E338E1">
      <w:pPr>
        <w:autoSpaceDE w:val="0"/>
        <w:autoSpaceDN w:val="0"/>
        <w:adjustRightInd w:val="0"/>
        <w:spacing w:after="0" w:line="240" w:lineRule="auto"/>
        <w:jc w:val="both"/>
        <w:rPr>
          <w:lang w:val="en-GB"/>
        </w:rPr>
      </w:pPr>
    </w:p>
    <w:p w14:paraId="31153014" w14:textId="5482A935" w:rsidR="00616CB2" w:rsidRPr="00503408" w:rsidRDefault="00616CB2" w:rsidP="00E338E1">
      <w:pPr>
        <w:autoSpaceDE w:val="0"/>
        <w:autoSpaceDN w:val="0"/>
        <w:adjustRightInd w:val="0"/>
        <w:spacing w:after="0" w:line="240" w:lineRule="auto"/>
        <w:jc w:val="both"/>
        <w:rPr>
          <w:lang w:val="en-GB"/>
        </w:rPr>
      </w:pPr>
      <w:r w:rsidRPr="00503408">
        <w:rPr>
          <w:lang w:val="en-GB"/>
        </w:rPr>
        <w:t>Aligned with NEMLC-approved PHC STG (Section 10.14: Tick bite fever)</w:t>
      </w:r>
      <w:r w:rsidRPr="00503408">
        <w:rPr>
          <w:rStyle w:val="FootnoteReference"/>
          <w:lang w:val="en-GB"/>
        </w:rPr>
        <w:footnoteReference w:id="5"/>
      </w:r>
      <w:r w:rsidRPr="00503408">
        <w:rPr>
          <w:lang w:val="en-GB"/>
        </w:rPr>
        <w:t>:</w:t>
      </w:r>
    </w:p>
    <w:p w14:paraId="33A22EE5" w14:textId="6C358865" w:rsidR="00251A7C" w:rsidRPr="00503408" w:rsidRDefault="00251A7C" w:rsidP="00E338E1">
      <w:pPr>
        <w:autoSpaceDE w:val="0"/>
        <w:autoSpaceDN w:val="0"/>
        <w:adjustRightInd w:val="0"/>
        <w:spacing w:after="0" w:line="240" w:lineRule="auto"/>
        <w:jc w:val="both"/>
        <w:rPr>
          <w:lang w:val="en-GB"/>
        </w:rPr>
      </w:pPr>
    </w:p>
    <w:p w14:paraId="5CBE6FEB" w14:textId="4EFAB0F9" w:rsidR="00251A7C" w:rsidRPr="00503408" w:rsidRDefault="00251A7C" w:rsidP="00E338E1">
      <w:pPr>
        <w:autoSpaceDE w:val="0"/>
        <w:autoSpaceDN w:val="0"/>
        <w:adjustRightInd w:val="0"/>
        <w:spacing w:after="0" w:line="240" w:lineRule="auto"/>
        <w:jc w:val="both"/>
        <w:rPr>
          <w:lang w:val="en-GB"/>
        </w:rPr>
      </w:pPr>
    </w:p>
    <w:p w14:paraId="026425EA" w14:textId="3A4B4FAF" w:rsidR="00251A7C" w:rsidRPr="00503408" w:rsidRDefault="00251A7C" w:rsidP="00E338E1">
      <w:pPr>
        <w:autoSpaceDE w:val="0"/>
        <w:autoSpaceDN w:val="0"/>
        <w:adjustRightInd w:val="0"/>
        <w:spacing w:after="0" w:line="240" w:lineRule="auto"/>
        <w:jc w:val="both"/>
        <w:rPr>
          <w:lang w:val="en-GB"/>
        </w:rPr>
      </w:pPr>
    </w:p>
    <w:p w14:paraId="763CAF1C" w14:textId="2AB26B81" w:rsidR="00251A7C" w:rsidRPr="00503408" w:rsidRDefault="00251A7C" w:rsidP="00E338E1">
      <w:pPr>
        <w:autoSpaceDE w:val="0"/>
        <w:autoSpaceDN w:val="0"/>
        <w:adjustRightInd w:val="0"/>
        <w:spacing w:after="0" w:line="240" w:lineRule="auto"/>
        <w:jc w:val="both"/>
        <w:rPr>
          <w:lang w:val="en-GB"/>
        </w:rPr>
      </w:pPr>
    </w:p>
    <w:p w14:paraId="19D30F34" w14:textId="77777777" w:rsidR="00251A7C" w:rsidRPr="00503408" w:rsidRDefault="00251A7C" w:rsidP="00E338E1">
      <w:pPr>
        <w:autoSpaceDE w:val="0"/>
        <w:autoSpaceDN w:val="0"/>
        <w:adjustRightInd w:val="0"/>
        <w:spacing w:after="0" w:line="240" w:lineRule="auto"/>
        <w:jc w:val="both"/>
        <w:rPr>
          <w:lang w:val="en-GB"/>
        </w:rPr>
      </w:pPr>
    </w:p>
    <w:tbl>
      <w:tblPr>
        <w:tblStyle w:val="TableGrid"/>
        <w:tblW w:w="0" w:type="auto"/>
        <w:tblLook w:val="04A0" w:firstRow="1" w:lastRow="0" w:firstColumn="1" w:lastColumn="0" w:noHBand="0" w:noVBand="1"/>
      </w:tblPr>
      <w:tblGrid>
        <w:gridCol w:w="10456"/>
      </w:tblGrid>
      <w:tr w:rsidR="008F728F" w:rsidRPr="00251A7C" w14:paraId="4630D9EC" w14:textId="77777777" w:rsidTr="0044252C">
        <w:trPr>
          <w:trHeight w:val="3134"/>
        </w:trPr>
        <w:tc>
          <w:tcPr>
            <w:tcW w:w="10456" w:type="dxa"/>
          </w:tcPr>
          <w:p w14:paraId="348B6E62" w14:textId="13206B81" w:rsidR="00616CB2" w:rsidRPr="00251A7C" w:rsidRDefault="00616CB2" w:rsidP="00616CB2">
            <w:pPr>
              <w:pStyle w:val="ListParagraph"/>
              <w:ind w:left="0"/>
              <w:jc w:val="both"/>
              <w:rPr>
                <w:rFonts w:asciiTheme="minorHAnsi" w:hAnsiTheme="minorHAnsi" w:cstheme="minorHAnsi"/>
                <w:b/>
                <w:i/>
                <w:iCs/>
                <w:color w:val="FF0000"/>
                <w:sz w:val="18"/>
                <w:szCs w:val="18"/>
                <w:u w:val="single"/>
              </w:rPr>
            </w:pPr>
            <w:r w:rsidRPr="00251A7C">
              <w:rPr>
                <w:rFonts w:asciiTheme="minorHAnsi" w:hAnsiTheme="minorHAnsi" w:cstheme="minorHAnsi"/>
                <w:b/>
                <w:i/>
                <w:iCs/>
                <w:color w:val="FF0000"/>
                <w:sz w:val="18"/>
                <w:szCs w:val="18"/>
                <w:u w:val="single"/>
              </w:rPr>
              <w:lastRenderedPageBreak/>
              <w:t>NEMLC MEETING OF 23 JUNE 2022 - NEMLC REPORT OF THE PHC INFECTIONS CHAPTER</w:t>
            </w:r>
          </w:p>
          <w:p w14:paraId="3B955870" w14:textId="6D717466" w:rsidR="00616CB2" w:rsidRPr="00251A7C" w:rsidRDefault="00616CB2" w:rsidP="00616CB2">
            <w:pPr>
              <w:pStyle w:val="ListParagraph"/>
              <w:ind w:left="0"/>
              <w:jc w:val="both"/>
              <w:rPr>
                <w:rFonts w:asciiTheme="minorHAnsi" w:hAnsiTheme="minorHAnsi" w:cstheme="minorHAnsi"/>
                <w:b/>
                <w:i/>
                <w:iCs/>
                <w:color w:val="FF0000"/>
                <w:sz w:val="18"/>
                <w:szCs w:val="18"/>
                <w:u w:val="single"/>
              </w:rPr>
            </w:pPr>
            <w:r w:rsidRPr="00251A7C">
              <w:rPr>
                <w:rFonts w:asciiTheme="minorHAnsi" w:hAnsiTheme="minorHAnsi" w:cstheme="minorHAnsi"/>
                <w:b/>
                <w:i/>
                <w:iCs/>
                <w:color w:val="FF0000"/>
                <w:sz w:val="18"/>
                <w:szCs w:val="18"/>
                <w:u w:val="single"/>
              </w:rPr>
              <w:t>In pregnancy</w:t>
            </w:r>
          </w:p>
          <w:p w14:paraId="6B6EA158" w14:textId="77777777" w:rsidR="00616CB2" w:rsidRPr="00251A7C" w:rsidRDefault="00616CB2" w:rsidP="00616CB2">
            <w:pPr>
              <w:pStyle w:val="ListParagraph"/>
              <w:ind w:left="0"/>
              <w:jc w:val="both"/>
              <w:rPr>
                <w:rFonts w:asciiTheme="minorHAnsi" w:hAnsiTheme="minorHAnsi" w:cstheme="minorHAnsi"/>
                <w:i/>
                <w:iCs/>
                <w:color w:val="FF0000"/>
                <w:sz w:val="18"/>
                <w:szCs w:val="18"/>
              </w:rPr>
            </w:pPr>
            <w:r w:rsidRPr="00251A7C">
              <w:rPr>
                <w:rFonts w:asciiTheme="minorHAnsi" w:hAnsiTheme="minorHAnsi" w:cstheme="minorHAnsi"/>
                <w:i/>
                <w:iCs/>
                <w:color w:val="FF0000"/>
                <w:sz w:val="18"/>
                <w:szCs w:val="18"/>
                <w:u w:val="single"/>
              </w:rPr>
              <w:t>Doxycycline:</w:t>
            </w:r>
            <w:r w:rsidRPr="00251A7C">
              <w:rPr>
                <w:rFonts w:asciiTheme="minorHAnsi" w:hAnsiTheme="minorHAnsi" w:cstheme="minorHAnsi"/>
                <w:b/>
                <w:i/>
                <w:iCs/>
                <w:color w:val="FF0000"/>
                <w:sz w:val="18"/>
                <w:szCs w:val="18"/>
              </w:rPr>
              <w:t xml:space="preserve"> </w:t>
            </w:r>
            <w:r w:rsidRPr="00251A7C">
              <w:rPr>
                <w:rFonts w:asciiTheme="minorHAnsi" w:hAnsiTheme="minorHAnsi" w:cstheme="minorHAnsi"/>
                <w:i/>
                <w:iCs/>
                <w:color w:val="FF0000"/>
                <w:sz w:val="18"/>
                <w:szCs w:val="18"/>
              </w:rPr>
              <w:t>Added as initial therapy</w:t>
            </w:r>
          </w:p>
          <w:p w14:paraId="0E3092F3" w14:textId="77777777" w:rsidR="00616CB2" w:rsidRPr="00251A7C" w:rsidRDefault="00616CB2" w:rsidP="00616CB2">
            <w:pPr>
              <w:pStyle w:val="ListParagraph"/>
              <w:ind w:left="0"/>
              <w:jc w:val="both"/>
              <w:rPr>
                <w:rFonts w:asciiTheme="minorHAnsi" w:hAnsiTheme="minorHAnsi" w:cstheme="minorHAnsi"/>
                <w:i/>
                <w:iCs/>
                <w:color w:val="FF0000"/>
                <w:sz w:val="18"/>
                <w:szCs w:val="18"/>
              </w:rPr>
            </w:pPr>
            <w:r w:rsidRPr="00251A7C">
              <w:rPr>
                <w:rFonts w:asciiTheme="minorHAnsi" w:hAnsiTheme="minorHAnsi" w:cstheme="minorHAnsi"/>
                <w:i/>
                <w:iCs/>
                <w:color w:val="FF0000"/>
                <w:sz w:val="18"/>
                <w:szCs w:val="18"/>
                <w:u w:val="single"/>
              </w:rPr>
              <w:t xml:space="preserve">Azithromycin: </w:t>
            </w:r>
            <w:r w:rsidRPr="00251A7C">
              <w:rPr>
                <w:rFonts w:asciiTheme="minorHAnsi" w:hAnsiTheme="minorHAnsi" w:cstheme="minorHAnsi"/>
                <w:i/>
                <w:iCs/>
                <w:color w:val="FF0000"/>
                <w:sz w:val="18"/>
                <w:szCs w:val="18"/>
              </w:rPr>
              <w:t>Retained</w:t>
            </w:r>
          </w:p>
          <w:p w14:paraId="78822FFE" w14:textId="77777777" w:rsidR="00616CB2" w:rsidRPr="00251A7C" w:rsidRDefault="00616CB2" w:rsidP="00616CB2">
            <w:pPr>
              <w:pStyle w:val="ListParagraph"/>
              <w:ind w:left="0"/>
              <w:jc w:val="both"/>
              <w:rPr>
                <w:rFonts w:asciiTheme="minorHAnsi" w:hAnsiTheme="minorHAnsi" w:cstheme="minorHAnsi"/>
                <w:i/>
                <w:iCs/>
                <w:color w:val="FF0000"/>
                <w:sz w:val="18"/>
                <w:szCs w:val="18"/>
              </w:rPr>
            </w:pPr>
          </w:p>
          <w:p w14:paraId="35781A8F" w14:textId="77777777" w:rsidR="00616CB2" w:rsidRPr="00251A7C" w:rsidRDefault="00616CB2" w:rsidP="00251A7C">
            <w:pPr>
              <w:pStyle w:val="ListParagraph"/>
              <w:widowControl w:val="0"/>
              <w:ind w:left="0"/>
              <w:jc w:val="both"/>
              <w:rPr>
                <w:rFonts w:asciiTheme="minorHAnsi" w:hAnsiTheme="minorHAnsi" w:cstheme="minorHAnsi"/>
                <w:i/>
                <w:iCs/>
                <w:color w:val="FF0000"/>
                <w:sz w:val="18"/>
                <w:szCs w:val="18"/>
              </w:rPr>
            </w:pPr>
            <w:r w:rsidRPr="00251A7C">
              <w:rPr>
                <w:rFonts w:asciiTheme="minorHAnsi" w:hAnsiTheme="minorHAnsi" w:cstheme="minorHAnsi"/>
                <w:i/>
                <w:iCs/>
                <w:color w:val="FF0000"/>
                <w:sz w:val="18"/>
                <w:szCs w:val="18"/>
              </w:rPr>
              <w:t>Doxycycline is antibiotic of choice for the treatment of tick bite fever.</w:t>
            </w:r>
            <w:r w:rsidRPr="00251A7C">
              <w:rPr>
                <w:rStyle w:val="FootnoteReference"/>
                <w:rFonts w:asciiTheme="minorHAnsi" w:hAnsiTheme="minorHAnsi" w:cstheme="minorHAnsi"/>
                <w:i/>
                <w:iCs/>
                <w:color w:val="FF0000"/>
                <w:sz w:val="18"/>
                <w:szCs w:val="18"/>
              </w:rPr>
              <w:footnoteReference w:id="6"/>
            </w:r>
            <w:r w:rsidRPr="00251A7C">
              <w:rPr>
                <w:rFonts w:asciiTheme="minorHAnsi" w:hAnsiTheme="minorHAnsi" w:cstheme="minorHAnsi"/>
                <w:i/>
                <w:iCs/>
                <w:color w:val="FF0000"/>
                <w:sz w:val="18"/>
                <w:szCs w:val="18"/>
              </w:rPr>
              <w:t xml:space="preserve"> However, doxycycline is generally avoided for use in pregnancy, as other tetracyclines have been associated with adverse effects on fetal teeth and bones.</w:t>
            </w:r>
            <w:r w:rsidRPr="00251A7C">
              <w:rPr>
                <w:rStyle w:val="FootnoteReference"/>
                <w:rFonts w:asciiTheme="minorHAnsi" w:hAnsiTheme="minorHAnsi" w:cstheme="minorHAnsi"/>
                <w:i/>
                <w:iCs/>
                <w:color w:val="FF0000"/>
                <w:sz w:val="18"/>
                <w:szCs w:val="18"/>
              </w:rPr>
              <w:footnoteReference w:id="7"/>
            </w:r>
            <w:r w:rsidRPr="00251A7C">
              <w:rPr>
                <w:rFonts w:asciiTheme="minorHAnsi" w:hAnsiTheme="minorHAnsi" w:cstheme="minorHAnsi"/>
                <w:i/>
                <w:iCs/>
                <w:color w:val="FF0000"/>
                <w:sz w:val="18"/>
                <w:szCs w:val="18"/>
              </w:rPr>
              <w:t xml:space="preserve"> A systematic review</w:t>
            </w:r>
            <w:r w:rsidRPr="00251A7C">
              <w:rPr>
                <w:rStyle w:val="FootnoteReference"/>
                <w:rFonts w:asciiTheme="minorHAnsi" w:hAnsiTheme="minorHAnsi" w:cstheme="minorHAnsi"/>
                <w:i/>
                <w:iCs/>
                <w:color w:val="FF0000"/>
                <w:sz w:val="18"/>
                <w:szCs w:val="18"/>
              </w:rPr>
              <w:footnoteReference w:id="8"/>
            </w:r>
            <w:r w:rsidRPr="00251A7C">
              <w:rPr>
                <w:rFonts w:asciiTheme="minorHAnsi" w:hAnsiTheme="minorHAnsi" w:cstheme="minorHAnsi"/>
                <w:i/>
                <w:iCs/>
                <w:color w:val="FF0000"/>
                <w:sz w:val="18"/>
                <w:szCs w:val="18"/>
              </w:rPr>
              <w:t xml:space="preserve"> demonstrated that doxycycline use by these patient groups had a safety profile that differed from that of tetracycline, with no correlation between doxycycline and teratogenic effects during pregnancy or dental staining in children. In addition, a retrospective cohort study suggests that doxycycline (and other antibiotics – azithromycin, ciprofloxacin and amoxicllin) used by pregnant women should not result in a greater incidence of overall major congenital malformations in their infants.</w:t>
            </w:r>
            <w:r w:rsidRPr="00251A7C">
              <w:rPr>
                <w:rStyle w:val="FootnoteReference"/>
                <w:rFonts w:asciiTheme="minorHAnsi" w:hAnsiTheme="minorHAnsi" w:cstheme="minorHAnsi"/>
                <w:i/>
                <w:iCs/>
                <w:color w:val="FF0000"/>
                <w:sz w:val="18"/>
                <w:szCs w:val="18"/>
              </w:rPr>
              <w:footnoteReference w:id="9"/>
            </w:r>
          </w:p>
          <w:p w14:paraId="5B9FC061" w14:textId="77777777" w:rsidR="00616CB2" w:rsidRPr="00251A7C" w:rsidRDefault="00616CB2" w:rsidP="00251A7C">
            <w:pPr>
              <w:pStyle w:val="ListParagraph"/>
              <w:widowControl w:val="0"/>
              <w:ind w:left="0"/>
              <w:jc w:val="both"/>
              <w:rPr>
                <w:rFonts w:asciiTheme="minorHAnsi" w:hAnsiTheme="minorHAnsi" w:cstheme="minorHAnsi"/>
                <w:i/>
                <w:iCs/>
                <w:color w:val="FF0000"/>
                <w:sz w:val="18"/>
                <w:szCs w:val="18"/>
              </w:rPr>
            </w:pPr>
            <w:r w:rsidRPr="00251A7C">
              <w:rPr>
                <w:rFonts w:asciiTheme="minorHAnsi" w:hAnsiTheme="minorHAnsi" w:cstheme="minorHAnsi"/>
                <w:i/>
                <w:iCs/>
                <w:color w:val="FF0000"/>
                <w:sz w:val="18"/>
                <w:szCs w:val="18"/>
              </w:rPr>
              <w:t>As there is a high fetal risk associated with rickettsial illnesses in pregnancy (higher than in malaria),</w:t>
            </w:r>
            <w:r w:rsidRPr="00251A7C">
              <w:rPr>
                <w:rStyle w:val="FootnoteReference"/>
                <w:rFonts w:asciiTheme="minorHAnsi" w:hAnsiTheme="minorHAnsi" w:cstheme="minorHAnsi"/>
                <w:i/>
                <w:iCs/>
                <w:color w:val="FF0000"/>
                <w:sz w:val="18"/>
                <w:szCs w:val="18"/>
              </w:rPr>
              <w:footnoteReference w:id="10"/>
            </w:r>
            <w:r w:rsidRPr="00251A7C">
              <w:rPr>
                <w:rFonts w:asciiTheme="minorHAnsi" w:hAnsiTheme="minorHAnsi" w:cstheme="minorHAnsi"/>
                <w:i/>
                <w:iCs/>
                <w:color w:val="FF0000"/>
                <w:sz w:val="18"/>
                <w:szCs w:val="18"/>
              </w:rPr>
              <w:t xml:space="preserve"> treatment with doxycycline outweighs the risks and consequences of the side effects associated with doxycycline. Early initiation of empirical doxycycline, to bypass any diagnostic challenges associated with rickettsial infections may likely save lives and prevent severe disease.</w:t>
            </w:r>
          </w:p>
          <w:p w14:paraId="1AA440AD" w14:textId="77777777" w:rsidR="00616CB2" w:rsidRPr="00251A7C" w:rsidRDefault="00616CB2" w:rsidP="00251A7C">
            <w:pPr>
              <w:pStyle w:val="ListParagraph"/>
              <w:widowControl w:val="0"/>
              <w:ind w:left="0"/>
              <w:jc w:val="both"/>
              <w:rPr>
                <w:rFonts w:asciiTheme="minorHAnsi" w:hAnsiTheme="minorHAnsi" w:cstheme="minorHAnsi"/>
                <w:i/>
                <w:iCs/>
                <w:color w:val="FF0000"/>
                <w:sz w:val="18"/>
                <w:szCs w:val="18"/>
              </w:rPr>
            </w:pPr>
          </w:p>
          <w:p w14:paraId="2A51F4DB" w14:textId="77777777" w:rsidR="00616CB2" w:rsidRPr="00251A7C" w:rsidRDefault="00616CB2" w:rsidP="00251A7C">
            <w:pPr>
              <w:pStyle w:val="ListParagraph"/>
              <w:widowControl w:val="0"/>
              <w:ind w:left="0"/>
              <w:jc w:val="both"/>
              <w:rPr>
                <w:rFonts w:asciiTheme="minorHAnsi" w:hAnsiTheme="minorHAnsi" w:cstheme="minorHAnsi"/>
                <w:i/>
                <w:iCs/>
                <w:color w:val="FF0000"/>
                <w:sz w:val="18"/>
                <w:szCs w:val="18"/>
              </w:rPr>
            </w:pPr>
            <w:r w:rsidRPr="00251A7C">
              <w:rPr>
                <w:rFonts w:asciiTheme="minorHAnsi" w:hAnsiTheme="minorHAnsi" w:cstheme="minorHAnsi"/>
                <w:i/>
                <w:iCs/>
                <w:color w:val="FF0000"/>
                <w:sz w:val="18"/>
                <w:szCs w:val="18"/>
              </w:rPr>
              <w:t>The PHC STGs and EML recommends initial treatment with doxycycline for 2 days, followed by azithromycin for tick bite fever in pregnancy.</w:t>
            </w:r>
          </w:p>
          <w:p w14:paraId="252B3E64" w14:textId="77777777" w:rsidR="00616CB2" w:rsidRPr="00251A7C" w:rsidRDefault="00616CB2" w:rsidP="00251A7C">
            <w:pPr>
              <w:pStyle w:val="ListParagraph"/>
              <w:widowControl w:val="0"/>
              <w:ind w:left="0"/>
              <w:jc w:val="both"/>
              <w:rPr>
                <w:rFonts w:asciiTheme="minorHAnsi" w:hAnsiTheme="minorHAnsi" w:cstheme="minorHAnsi"/>
                <w:i/>
                <w:iCs/>
                <w:color w:val="FF0000"/>
                <w:sz w:val="18"/>
                <w:szCs w:val="18"/>
              </w:rPr>
            </w:pPr>
          </w:p>
          <w:p w14:paraId="07054B16" w14:textId="77777777" w:rsidR="00616CB2" w:rsidRPr="00251A7C" w:rsidRDefault="00616CB2" w:rsidP="00251A7C">
            <w:pPr>
              <w:pStyle w:val="ListParagraph"/>
              <w:widowControl w:val="0"/>
              <w:ind w:left="0"/>
              <w:jc w:val="both"/>
              <w:rPr>
                <w:rFonts w:asciiTheme="minorHAnsi" w:hAnsiTheme="minorHAnsi" w:cstheme="minorHAnsi"/>
                <w:i/>
                <w:iCs/>
                <w:color w:val="FF0000"/>
                <w:sz w:val="18"/>
                <w:szCs w:val="18"/>
              </w:rPr>
            </w:pPr>
            <w:r w:rsidRPr="00251A7C">
              <w:rPr>
                <w:rFonts w:asciiTheme="minorHAnsi" w:hAnsiTheme="minorHAnsi" w:cstheme="minorHAnsi"/>
                <w:i/>
                <w:iCs/>
                <w:color w:val="FF0000"/>
                <w:sz w:val="18"/>
                <w:szCs w:val="18"/>
              </w:rPr>
              <w:t>STG text was updated as follows:</w:t>
            </w:r>
          </w:p>
          <w:tbl>
            <w:tblPr>
              <w:tblStyle w:val="TableGrid"/>
              <w:tblW w:w="0" w:type="auto"/>
              <w:tblLook w:val="04A0" w:firstRow="1" w:lastRow="0" w:firstColumn="1" w:lastColumn="0" w:noHBand="0" w:noVBand="1"/>
            </w:tblPr>
            <w:tblGrid>
              <w:gridCol w:w="10230"/>
            </w:tblGrid>
            <w:tr w:rsidR="00251A7C" w:rsidRPr="00251A7C" w14:paraId="506EB009" w14:textId="77777777" w:rsidTr="00EA2412">
              <w:trPr>
                <w:trHeight w:val="995"/>
              </w:trPr>
              <w:tc>
                <w:tcPr>
                  <w:tcW w:w="10456" w:type="dxa"/>
                </w:tcPr>
                <w:p w14:paraId="711E4CC7" w14:textId="77777777" w:rsidR="00616CB2" w:rsidRPr="00251A7C" w:rsidRDefault="00616CB2" w:rsidP="00251A7C">
                  <w:pPr>
                    <w:pStyle w:val="Heading7"/>
                    <w:keepNext w:val="0"/>
                    <w:widowControl w:val="0"/>
                    <w:spacing w:before="0"/>
                    <w:outlineLvl w:val="6"/>
                    <w:rPr>
                      <w:rFonts w:asciiTheme="minorHAnsi" w:hAnsiTheme="minorHAnsi" w:cstheme="minorHAnsi"/>
                      <w:i/>
                      <w:iCs/>
                      <w:color w:val="FF0000"/>
                    </w:rPr>
                  </w:pPr>
                  <w:r w:rsidRPr="00251A7C">
                    <w:rPr>
                      <w:rFonts w:asciiTheme="minorHAnsi" w:hAnsiTheme="minorHAnsi" w:cstheme="minorHAnsi"/>
                      <w:i/>
                      <w:iCs/>
                      <w:color w:val="FF0000"/>
                    </w:rPr>
                    <w:t>In pregnancy:</w:t>
                  </w:r>
                </w:p>
                <w:p w14:paraId="32745A91" w14:textId="77777777" w:rsidR="00616CB2" w:rsidRPr="00251A7C" w:rsidRDefault="00616CB2" w:rsidP="00251A7C">
                  <w:pPr>
                    <w:pStyle w:val="BulletMedicine"/>
                    <w:widowControl w:val="0"/>
                    <w:rPr>
                      <w:rFonts w:asciiTheme="minorHAnsi" w:hAnsiTheme="minorHAnsi" w:cstheme="minorHAnsi"/>
                      <w:i/>
                      <w:iCs/>
                      <w:color w:val="FF0000"/>
                      <w:u w:val="single"/>
                      <w:lang w:val="en-GB"/>
                    </w:rPr>
                  </w:pPr>
                  <w:r w:rsidRPr="00251A7C">
                    <w:rPr>
                      <w:rFonts w:asciiTheme="minorHAnsi" w:hAnsiTheme="minorHAnsi" w:cstheme="minorHAnsi"/>
                      <w:i/>
                      <w:iCs/>
                      <w:color w:val="FF0000"/>
                      <w:u w:val="single"/>
                      <w:lang w:val="en-GB"/>
                    </w:rPr>
                    <w:t>Doxycycline, oral, 100 mg 12 hourly for 2 days.</w:t>
                  </w:r>
                </w:p>
                <w:p w14:paraId="34C33249" w14:textId="77777777" w:rsidR="00616CB2" w:rsidRPr="00251A7C" w:rsidRDefault="00616CB2" w:rsidP="00251A7C">
                  <w:pPr>
                    <w:widowControl w:val="0"/>
                    <w:rPr>
                      <w:rFonts w:asciiTheme="minorHAnsi" w:hAnsiTheme="minorHAnsi" w:cstheme="minorHAnsi"/>
                      <w:i/>
                      <w:iCs/>
                      <w:color w:val="FF0000"/>
                      <w:sz w:val="18"/>
                      <w:szCs w:val="18"/>
                      <w:u w:val="single"/>
                      <w:lang w:val="en-GB"/>
                    </w:rPr>
                  </w:pPr>
                  <w:r w:rsidRPr="00251A7C">
                    <w:rPr>
                      <w:rFonts w:asciiTheme="minorHAnsi" w:hAnsiTheme="minorHAnsi" w:cstheme="minorHAnsi"/>
                      <w:i/>
                      <w:iCs/>
                      <w:color w:val="FF0000"/>
                      <w:sz w:val="18"/>
                      <w:szCs w:val="18"/>
                      <w:u w:val="single"/>
                      <w:lang w:val="en-GB"/>
                    </w:rPr>
                    <w:t>Then switch to:</w:t>
                  </w:r>
                </w:p>
                <w:p w14:paraId="3F6CEA8B" w14:textId="77777777" w:rsidR="00616CB2" w:rsidRPr="00251A7C" w:rsidRDefault="00616CB2" w:rsidP="00251A7C">
                  <w:pPr>
                    <w:pStyle w:val="BulletMedicine"/>
                    <w:widowControl w:val="0"/>
                    <w:rPr>
                      <w:rFonts w:asciiTheme="minorHAnsi" w:hAnsiTheme="minorHAnsi" w:cstheme="minorHAnsi"/>
                      <w:i/>
                      <w:iCs/>
                      <w:color w:val="FF0000"/>
                      <w:u w:val="single"/>
                      <w:lang w:val="en-GB"/>
                    </w:rPr>
                  </w:pPr>
                  <w:r w:rsidRPr="00251A7C">
                    <w:rPr>
                      <w:rFonts w:asciiTheme="minorHAnsi" w:hAnsiTheme="minorHAnsi" w:cstheme="minorHAnsi"/>
                      <w:i/>
                      <w:iCs/>
                      <w:color w:val="FF0000"/>
                      <w:u w:val="single"/>
                      <w:lang w:val="en-GB"/>
                    </w:rPr>
                    <w:t>Azithromycin, oral, 500 mg 12 hourly for 3 days.</w:t>
                  </w:r>
                </w:p>
              </w:tc>
            </w:tr>
          </w:tbl>
          <w:p w14:paraId="4164256E" w14:textId="77777777" w:rsidR="00616CB2" w:rsidRPr="00251A7C" w:rsidRDefault="00616CB2" w:rsidP="00251A7C">
            <w:pPr>
              <w:pStyle w:val="ListParagraph"/>
              <w:widowControl w:val="0"/>
              <w:ind w:left="0"/>
              <w:jc w:val="both"/>
              <w:rPr>
                <w:rFonts w:asciiTheme="minorHAnsi" w:hAnsiTheme="minorHAnsi" w:cstheme="minorHAnsi"/>
                <w:i/>
                <w:iCs/>
                <w:color w:val="FF0000"/>
                <w:sz w:val="18"/>
                <w:szCs w:val="18"/>
              </w:rPr>
            </w:pPr>
          </w:p>
          <w:p w14:paraId="0EE36F48" w14:textId="4AAF00F5" w:rsidR="00616CB2" w:rsidRPr="00251A7C" w:rsidRDefault="00616CB2" w:rsidP="00251A7C">
            <w:pPr>
              <w:widowControl w:val="0"/>
              <w:spacing w:after="0"/>
              <w:rPr>
                <w:rFonts w:asciiTheme="minorHAnsi" w:hAnsiTheme="minorHAnsi" w:cstheme="minorHAnsi"/>
                <w:b/>
                <w:i/>
                <w:iCs/>
                <w:sz w:val="18"/>
                <w:szCs w:val="18"/>
                <w:lang w:val="en-GB"/>
              </w:rPr>
            </w:pPr>
            <w:r w:rsidRPr="00251A7C">
              <w:rPr>
                <w:rFonts w:asciiTheme="minorHAnsi" w:hAnsiTheme="minorHAnsi" w:cstheme="minorHAnsi"/>
                <w:b/>
                <w:i/>
                <w:iCs/>
                <w:color w:val="FF0000"/>
                <w:sz w:val="18"/>
                <w:szCs w:val="18"/>
                <w:lang w:val="en-GB"/>
              </w:rPr>
              <w:t>Level of Evidence: Very low certainty, conditional recommendation</w:t>
            </w:r>
          </w:p>
        </w:tc>
      </w:tr>
    </w:tbl>
    <w:p w14:paraId="22DE4CB2" w14:textId="44DE61ED" w:rsidR="00616CB2" w:rsidRPr="00251A7C" w:rsidRDefault="00616CB2" w:rsidP="00E338E1">
      <w:pPr>
        <w:autoSpaceDE w:val="0"/>
        <w:autoSpaceDN w:val="0"/>
        <w:adjustRightInd w:val="0"/>
        <w:spacing w:after="0" w:line="240" w:lineRule="auto"/>
        <w:jc w:val="both"/>
        <w:rPr>
          <w:lang w:val="en-GB"/>
        </w:rPr>
      </w:pPr>
    </w:p>
    <w:p w14:paraId="1576AF2E" w14:textId="6B92701B" w:rsidR="00BF3233" w:rsidRPr="00251A7C" w:rsidRDefault="00BF3233" w:rsidP="00E338E1">
      <w:pPr>
        <w:autoSpaceDE w:val="0"/>
        <w:autoSpaceDN w:val="0"/>
        <w:adjustRightInd w:val="0"/>
        <w:spacing w:after="0" w:line="240" w:lineRule="auto"/>
        <w:jc w:val="both"/>
        <w:rPr>
          <w:lang w:val="en-GB"/>
        </w:rPr>
      </w:pPr>
    </w:p>
    <w:tbl>
      <w:tblPr>
        <w:tblW w:w="5000" w:type="pct"/>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A0" w:firstRow="1" w:lastRow="0" w:firstColumn="1" w:lastColumn="0" w:noHBand="0" w:noVBand="0"/>
      </w:tblPr>
      <w:tblGrid>
        <w:gridCol w:w="10436"/>
      </w:tblGrid>
      <w:tr w:rsidR="008F728F" w:rsidRPr="00251A7C" w14:paraId="3CA102CF" w14:textId="77777777" w:rsidTr="00EA2412">
        <w:tc>
          <w:tcPr>
            <w:tcW w:w="5000" w:type="pct"/>
            <w:tcBorders>
              <w:top w:val="double" w:sz="4" w:space="0" w:color="C0C0C0"/>
              <w:left w:val="double" w:sz="4" w:space="0" w:color="C0C0C0"/>
              <w:bottom w:val="double" w:sz="4" w:space="0" w:color="C0C0C0"/>
              <w:right w:val="double" w:sz="4" w:space="0" w:color="C0C0C0"/>
            </w:tcBorders>
          </w:tcPr>
          <w:p w14:paraId="095FD5FD" w14:textId="15D17090" w:rsidR="00BF3233" w:rsidRPr="00251A7C" w:rsidRDefault="00BF3233" w:rsidP="00EA2412">
            <w:pPr>
              <w:widowControl w:val="0"/>
              <w:autoSpaceDE w:val="0"/>
              <w:autoSpaceDN w:val="0"/>
              <w:adjustRightInd w:val="0"/>
              <w:spacing w:before="120" w:after="120" w:line="240" w:lineRule="auto"/>
              <w:rPr>
                <w:rFonts w:cs="Calibri"/>
                <w:b/>
                <w:lang w:val="en-GB"/>
              </w:rPr>
            </w:pPr>
            <w:r w:rsidRPr="00251A7C">
              <w:rPr>
                <w:rFonts w:cs="Calibri"/>
                <w:b/>
                <w:spacing w:val="-4"/>
                <w:szCs w:val="20"/>
                <w:lang w:val="en-GB"/>
              </w:rPr>
              <w:t>9.12 VARICELLA (CHICKENPOX), COMPLICATED</w:t>
            </w:r>
          </w:p>
        </w:tc>
      </w:tr>
    </w:tbl>
    <w:p w14:paraId="6BE3AA53" w14:textId="3CCE1457" w:rsidR="00BF3233" w:rsidRPr="00251A7C" w:rsidRDefault="00C011B2" w:rsidP="00E338E1">
      <w:pPr>
        <w:autoSpaceDE w:val="0"/>
        <w:autoSpaceDN w:val="0"/>
        <w:adjustRightInd w:val="0"/>
        <w:spacing w:after="0" w:line="240" w:lineRule="auto"/>
        <w:jc w:val="both"/>
        <w:rPr>
          <w:rFonts w:cs="Arial"/>
          <w:i/>
          <w:iCs/>
          <w:lang w:val="en-GB"/>
        </w:rPr>
      </w:pPr>
      <w:r w:rsidRPr="00251A7C">
        <w:rPr>
          <w:rFonts w:cs="Arial"/>
          <w:u w:val="single"/>
          <w:lang w:val="en-GB"/>
        </w:rPr>
        <w:t>Varicella-zoster immunoglobulin</w:t>
      </w:r>
      <w:r w:rsidR="005F68AF" w:rsidRPr="00251A7C">
        <w:rPr>
          <w:rFonts w:cs="Arial"/>
          <w:u w:val="single"/>
          <w:lang w:val="en-GB"/>
        </w:rPr>
        <w:t xml:space="preserve"> (VZIG)</w:t>
      </w:r>
      <w:r w:rsidRPr="00251A7C">
        <w:rPr>
          <w:rFonts w:cs="Arial"/>
          <w:u w:val="single"/>
          <w:lang w:val="en-GB"/>
        </w:rPr>
        <w:t>, IM:</w:t>
      </w:r>
      <w:r w:rsidRPr="00251A7C">
        <w:rPr>
          <w:rFonts w:cs="Arial"/>
          <w:lang w:val="en-GB"/>
        </w:rPr>
        <w:t xml:space="preserve"> </w:t>
      </w:r>
      <w:r w:rsidRPr="00251A7C">
        <w:rPr>
          <w:rFonts w:cs="Arial"/>
          <w:i/>
          <w:iCs/>
          <w:lang w:val="en-GB"/>
        </w:rPr>
        <w:t>indication amended</w:t>
      </w:r>
    </w:p>
    <w:p w14:paraId="28805645" w14:textId="77777777" w:rsidR="005F68AF" w:rsidRPr="00251A7C" w:rsidRDefault="005F68AF" w:rsidP="00E338E1">
      <w:pPr>
        <w:autoSpaceDE w:val="0"/>
        <w:autoSpaceDN w:val="0"/>
        <w:adjustRightInd w:val="0"/>
        <w:spacing w:after="0" w:line="240" w:lineRule="auto"/>
        <w:jc w:val="both"/>
        <w:rPr>
          <w:rFonts w:cs="Arial"/>
          <w:lang w:val="en-GB"/>
        </w:rPr>
      </w:pPr>
    </w:p>
    <w:p w14:paraId="5EA87754" w14:textId="7DF48431" w:rsidR="00C011B2" w:rsidRPr="00251A7C" w:rsidRDefault="00C011B2" w:rsidP="00E338E1">
      <w:pPr>
        <w:autoSpaceDE w:val="0"/>
        <w:autoSpaceDN w:val="0"/>
        <w:adjustRightInd w:val="0"/>
        <w:spacing w:after="0" w:line="240" w:lineRule="auto"/>
        <w:jc w:val="both"/>
        <w:rPr>
          <w:rFonts w:cs="Arial"/>
          <w:lang w:val="en-GB"/>
        </w:rPr>
      </w:pPr>
      <w:r w:rsidRPr="00251A7C">
        <w:rPr>
          <w:rFonts w:cs="Arial"/>
          <w:lang w:val="en-GB"/>
        </w:rPr>
        <w:t xml:space="preserve">The indication for </w:t>
      </w:r>
      <w:r w:rsidR="005F68AF" w:rsidRPr="00251A7C">
        <w:rPr>
          <w:rFonts w:cs="Arial"/>
          <w:lang w:val="en-GB"/>
        </w:rPr>
        <w:t>VZIG was amended to align with the Centers for Disease Control and Prevention (CDC) guidelines</w:t>
      </w:r>
      <w:r w:rsidR="005F68AF" w:rsidRPr="00251A7C">
        <w:rPr>
          <w:rStyle w:val="FootnoteReference"/>
          <w:rFonts w:cs="Arial"/>
          <w:lang w:val="en-GB"/>
        </w:rPr>
        <w:footnoteReference w:id="11"/>
      </w:r>
      <w:r w:rsidR="005F68AF" w:rsidRPr="00251A7C">
        <w:rPr>
          <w:rFonts w:cs="Arial"/>
          <w:lang w:val="en-GB"/>
        </w:rPr>
        <w:t xml:space="preserve"> and corrected from:</w:t>
      </w:r>
    </w:p>
    <w:tbl>
      <w:tblPr>
        <w:tblStyle w:val="TableGrid"/>
        <w:tblW w:w="0" w:type="auto"/>
        <w:tblLook w:val="04A0" w:firstRow="1" w:lastRow="0" w:firstColumn="1" w:lastColumn="0" w:noHBand="0" w:noVBand="1"/>
      </w:tblPr>
      <w:tblGrid>
        <w:gridCol w:w="10456"/>
      </w:tblGrid>
      <w:tr w:rsidR="008F728F" w:rsidRPr="00251A7C" w14:paraId="197DAFC9" w14:textId="77777777" w:rsidTr="005F68AF">
        <w:tc>
          <w:tcPr>
            <w:tcW w:w="10456" w:type="dxa"/>
          </w:tcPr>
          <w:p w14:paraId="41F97155" w14:textId="000652FD" w:rsidR="005F68AF" w:rsidRPr="00251A7C" w:rsidRDefault="005F68AF" w:rsidP="00E338E1">
            <w:pPr>
              <w:autoSpaceDE w:val="0"/>
              <w:autoSpaceDN w:val="0"/>
              <w:adjustRightInd w:val="0"/>
              <w:spacing w:after="0" w:line="240" w:lineRule="auto"/>
              <w:jc w:val="both"/>
              <w:rPr>
                <w:strike/>
                <w:lang w:val="en-GB"/>
              </w:rPr>
            </w:pPr>
            <w:r w:rsidRPr="00251A7C">
              <w:rPr>
                <w:strike/>
                <w:sz w:val="18"/>
                <w:szCs w:val="18"/>
                <w:lang w:val="en-GB"/>
              </w:rPr>
              <w:t>For patients who are severely immunologically compromised and are not immune:</w:t>
            </w:r>
          </w:p>
        </w:tc>
      </w:tr>
    </w:tbl>
    <w:p w14:paraId="0970549E" w14:textId="2591D068" w:rsidR="005F68AF" w:rsidRPr="00251A7C" w:rsidRDefault="005F68AF" w:rsidP="00E338E1">
      <w:pPr>
        <w:autoSpaceDE w:val="0"/>
        <w:autoSpaceDN w:val="0"/>
        <w:adjustRightInd w:val="0"/>
        <w:spacing w:after="0" w:line="240" w:lineRule="auto"/>
        <w:jc w:val="both"/>
        <w:rPr>
          <w:sz w:val="20"/>
          <w:szCs w:val="20"/>
          <w:lang w:val="en-GB"/>
        </w:rPr>
      </w:pPr>
      <w:r w:rsidRPr="00251A7C">
        <w:rPr>
          <w:lang w:val="en-GB"/>
        </w:rPr>
        <w:t>To:</w:t>
      </w:r>
    </w:p>
    <w:tbl>
      <w:tblPr>
        <w:tblStyle w:val="TableGrid"/>
        <w:tblW w:w="0" w:type="auto"/>
        <w:tblLook w:val="04A0" w:firstRow="1" w:lastRow="0" w:firstColumn="1" w:lastColumn="0" w:noHBand="0" w:noVBand="1"/>
      </w:tblPr>
      <w:tblGrid>
        <w:gridCol w:w="10456"/>
      </w:tblGrid>
      <w:tr w:rsidR="008F728F" w:rsidRPr="00251A7C" w14:paraId="0A264BD7" w14:textId="77777777" w:rsidTr="00C8308F">
        <w:trPr>
          <w:trHeight w:val="524"/>
        </w:trPr>
        <w:tc>
          <w:tcPr>
            <w:tcW w:w="10456" w:type="dxa"/>
            <w:shd w:val="clear" w:color="auto" w:fill="auto"/>
          </w:tcPr>
          <w:p w14:paraId="399AFE9B" w14:textId="1CF9A00B" w:rsidR="005F68AF" w:rsidRPr="00251A7C" w:rsidRDefault="005F68AF" w:rsidP="00E338E1">
            <w:pPr>
              <w:autoSpaceDE w:val="0"/>
              <w:autoSpaceDN w:val="0"/>
              <w:adjustRightInd w:val="0"/>
              <w:spacing w:after="0" w:line="240" w:lineRule="auto"/>
              <w:jc w:val="both"/>
              <w:rPr>
                <w:rFonts w:asciiTheme="minorHAnsi" w:hAnsiTheme="minorHAnsi" w:cstheme="minorHAnsi"/>
                <w:sz w:val="18"/>
                <w:szCs w:val="18"/>
                <w:lang w:val="en-GB"/>
              </w:rPr>
            </w:pPr>
            <w:r w:rsidRPr="00251A7C">
              <w:rPr>
                <w:rFonts w:asciiTheme="minorHAnsi" w:hAnsiTheme="minorHAnsi" w:cstheme="minorHAnsi"/>
                <w:sz w:val="18"/>
                <w:szCs w:val="18"/>
                <w:u w:val="single"/>
                <w:lang w:val="en-GB"/>
              </w:rPr>
              <w:t>For close contacts (household contacts or patients in adjacent beds in the same ward) who are severely immunologically compromised and are not immune</w:t>
            </w:r>
            <w:r w:rsidR="00C8308F" w:rsidRPr="00251A7C">
              <w:rPr>
                <w:rFonts w:asciiTheme="minorHAnsi" w:hAnsiTheme="minorHAnsi" w:cstheme="minorHAnsi"/>
                <w:sz w:val="18"/>
                <w:szCs w:val="18"/>
                <w:u w:val="single"/>
                <w:lang w:val="en-GB"/>
              </w:rPr>
              <w:t xml:space="preserve"> </w:t>
            </w:r>
            <w:r w:rsidR="00C8308F" w:rsidRPr="00251A7C">
              <w:rPr>
                <w:sz w:val="18"/>
                <w:szCs w:val="18"/>
                <w:lang w:val="en-GB"/>
              </w:rPr>
              <w:t>(i.e. no history of chickenpox/shingles or negative VZV IgG)</w:t>
            </w:r>
            <w:r w:rsidRPr="00251A7C">
              <w:rPr>
                <w:rFonts w:asciiTheme="minorHAnsi" w:hAnsiTheme="minorHAnsi" w:cstheme="minorHAnsi"/>
                <w:sz w:val="18"/>
                <w:szCs w:val="18"/>
                <w:u w:val="single"/>
                <w:lang w:val="en-GB"/>
              </w:rPr>
              <w:t xml:space="preserve"> following a significant exposure (household contacts):</w:t>
            </w:r>
          </w:p>
        </w:tc>
      </w:tr>
    </w:tbl>
    <w:p w14:paraId="65F4E073" w14:textId="18B6D902" w:rsidR="005F68AF" w:rsidRPr="00251A7C" w:rsidRDefault="005F68AF" w:rsidP="00E338E1">
      <w:pPr>
        <w:autoSpaceDE w:val="0"/>
        <w:autoSpaceDN w:val="0"/>
        <w:adjustRightInd w:val="0"/>
        <w:spacing w:after="0" w:line="240" w:lineRule="auto"/>
        <w:jc w:val="both"/>
        <w:rPr>
          <w:b/>
          <w:bCs/>
          <w:lang w:val="en-GB"/>
        </w:rPr>
      </w:pPr>
      <w:r w:rsidRPr="00251A7C">
        <w:rPr>
          <w:b/>
          <w:bCs/>
          <w:lang w:val="en-GB"/>
        </w:rPr>
        <w:t>Level of Evidence: Low certainty evidence, conditional recommendation</w:t>
      </w:r>
    </w:p>
    <w:sectPr w:rsidR="005F68AF" w:rsidRPr="00251A7C" w:rsidSect="00BF2A8E">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56F7" w14:textId="77777777" w:rsidR="00861822" w:rsidRPr="004825E9" w:rsidRDefault="00861822" w:rsidP="004133D7">
      <w:pPr>
        <w:spacing w:after="0" w:line="240" w:lineRule="auto"/>
      </w:pPr>
      <w:r>
        <w:separator/>
      </w:r>
    </w:p>
  </w:endnote>
  <w:endnote w:type="continuationSeparator" w:id="0">
    <w:p w14:paraId="7F31E13F" w14:textId="77777777" w:rsidR="00861822" w:rsidRPr="004825E9" w:rsidRDefault="00861822" w:rsidP="0041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7D53" w14:textId="77777777" w:rsidR="00503408" w:rsidRDefault="00503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651F" w14:textId="36341A91" w:rsidR="00441C9F" w:rsidRDefault="00441C9F" w:rsidP="00823CFE">
    <w:pPr>
      <w:pStyle w:val="Footer"/>
      <w:jc w:val="center"/>
      <w:rPr>
        <w:sz w:val="18"/>
      </w:rPr>
    </w:pPr>
  </w:p>
  <w:p w14:paraId="2BE806E4" w14:textId="78DE0F51" w:rsidR="003D2122" w:rsidRPr="001C7601" w:rsidRDefault="00D861D0" w:rsidP="00823CFE">
    <w:pPr>
      <w:pStyle w:val="Footer"/>
      <w:jc w:val="center"/>
      <w:rPr>
        <w:sz w:val="18"/>
      </w:rPr>
    </w:pPr>
    <w:r w:rsidRPr="00D861D0">
      <w:rPr>
        <w:sz w:val="18"/>
      </w:rPr>
      <w:t>NEMLC report_AdultHosp_Ch9_Infections_</w:t>
    </w:r>
    <w:r w:rsidR="00247087">
      <w:rPr>
        <w:sz w:val="18"/>
      </w:rPr>
      <w:t>R4C</w:t>
    </w:r>
    <w:r w:rsidRPr="00D861D0">
      <w:rPr>
        <w:sz w:val="18"/>
      </w:rPr>
      <w:t>_2</w:t>
    </w:r>
    <w:r w:rsidR="00265FBC">
      <w:rPr>
        <w:sz w:val="18"/>
      </w:rPr>
      <w:t>0October2022</w:t>
    </w:r>
    <w:sdt>
      <w:sdtPr>
        <w:rPr>
          <w:sz w:val="18"/>
        </w:rPr>
        <w:id w:val="87918703"/>
        <w:docPartObj>
          <w:docPartGallery w:val="Page Numbers (Bottom of Page)"/>
          <w:docPartUnique/>
        </w:docPartObj>
      </w:sdtPr>
      <w:sdtContent>
        <w:r w:rsidR="00265FBC">
          <w:rPr>
            <w:sz w:val="18"/>
          </w:rPr>
          <w:tab/>
        </w:r>
        <w:r w:rsidR="00CB2CDE">
          <w:rPr>
            <w:sz w:val="18"/>
          </w:rPr>
          <w:tab/>
        </w:r>
        <w:r w:rsidR="00CB2CDE">
          <w:rPr>
            <w:sz w:val="18"/>
          </w:rPr>
          <w:tab/>
        </w:r>
        <w:r w:rsidR="00871BB6" w:rsidRPr="001C7601">
          <w:rPr>
            <w:sz w:val="18"/>
          </w:rPr>
          <w:fldChar w:fldCharType="begin"/>
        </w:r>
        <w:r w:rsidR="00871BB6" w:rsidRPr="001C7601">
          <w:rPr>
            <w:sz w:val="18"/>
          </w:rPr>
          <w:instrText xml:space="preserve"> PAGE   \* MERGEFORMAT </w:instrText>
        </w:r>
        <w:r w:rsidR="00871BB6" w:rsidRPr="001C7601">
          <w:rPr>
            <w:sz w:val="18"/>
          </w:rPr>
          <w:fldChar w:fldCharType="separate"/>
        </w:r>
        <w:r w:rsidR="00CE23CE">
          <w:rPr>
            <w:noProof/>
            <w:sz w:val="18"/>
          </w:rPr>
          <w:t>5</w:t>
        </w:r>
        <w:r w:rsidR="00871BB6" w:rsidRPr="001C7601">
          <w:rPr>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0DFD" w14:textId="77777777" w:rsidR="00503408" w:rsidRDefault="0050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4377" w14:textId="77777777" w:rsidR="00861822" w:rsidRPr="004825E9" w:rsidRDefault="00861822" w:rsidP="004133D7">
      <w:pPr>
        <w:spacing w:after="0" w:line="240" w:lineRule="auto"/>
      </w:pPr>
    </w:p>
  </w:footnote>
  <w:footnote w:type="continuationSeparator" w:id="0">
    <w:p w14:paraId="1811E6FB" w14:textId="77777777" w:rsidR="00861822" w:rsidRPr="004825E9" w:rsidRDefault="00861822" w:rsidP="004133D7">
      <w:pPr>
        <w:spacing w:after="0" w:line="240" w:lineRule="auto"/>
      </w:pPr>
    </w:p>
  </w:footnote>
  <w:footnote w:id="1">
    <w:p w14:paraId="418C993B" w14:textId="6AABDCD3" w:rsidR="000D7ED2" w:rsidRPr="00464D2C" w:rsidRDefault="000D7ED2" w:rsidP="000D7ED2">
      <w:pPr>
        <w:pStyle w:val="FootnoteText"/>
        <w:spacing w:after="0" w:line="240" w:lineRule="auto"/>
        <w:rPr>
          <w:rFonts w:asciiTheme="minorHAnsi" w:hAnsiTheme="minorHAnsi" w:cstheme="minorHAnsi"/>
          <w:sz w:val="16"/>
          <w:szCs w:val="16"/>
        </w:rPr>
      </w:pPr>
      <w:r w:rsidRPr="00464D2C">
        <w:rPr>
          <w:rStyle w:val="FootnoteReference"/>
          <w:rFonts w:asciiTheme="minorHAnsi" w:hAnsiTheme="minorHAnsi" w:cstheme="minorHAnsi"/>
          <w:sz w:val="16"/>
          <w:szCs w:val="16"/>
        </w:rPr>
        <w:footnoteRef/>
      </w:r>
      <w:r w:rsidRPr="00464D2C">
        <w:rPr>
          <w:rFonts w:asciiTheme="minorHAnsi" w:hAnsiTheme="minorHAnsi" w:cstheme="minorHAnsi"/>
          <w:sz w:val="16"/>
          <w:szCs w:val="16"/>
        </w:rPr>
        <w:t xml:space="preserve"> </w:t>
      </w:r>
      <w:r w:rsidR="00464D2C" w:rsidRPr="00464D2C">
        <w:rPr>
          <w:rFonts w:asciiTheme="minorHAnsi" w:hAnsiTheme="minorHAnsi" w:cstheme="minorHAnsi"/>
          <w:sz w:val="16"/>
          <w:szCs w:val="16"/>
        </w:rPr>
        <w:t>Kalil AC, Metersky ML, Klompas M, Muscedere J, Sweeney DA, Palmer LB, Napolitano LM, et al. Management of Adults With Hospital-acquired and Ventilator-associated Pneumonia: 2016 Clinical Practice Guidelines by the Infectious Diseases Society of America and the American Thoracic Society. Clin Infect Dis. 2016 Sep 1;63(5):e61-e111. doi: 10.1093/cid/ciw353. Epub 2016 Jul 14. Erratum in: Clin Infect Dis. 2017 May 1;64(9):1298. Erratum in: Clin Infect Dis. 2017 Oct 15;65(8):1435. Erratum in: Clin Infect Dis. 2017 Nov 29;65(12):2161.</w:t>
      </w:r>
    </w:p>
  </w:footnote>
  <w:footnote w:id="2">
    <w:p w14:paraId="49862259" w14:textId="62571C6B" w:rsidR="000D7ED2" w:rsidRPr="00464D2C" w:rsidRDefault="000D7ED2" w:rsidP="000D7ED2">
      <w:pPr>
        <w:pStyle w:val="FootnoteText"/>
        <w:spacing w:after="0" w:line="240" w:lineRule="auto"/>
        <w:rPr>
          <w:rFonts w:asciiTheme="minorHAnsi" w:hAnsiTheme="minorHAnsi" w:cstheme="minorHAnsi"/>
          <w:sz w:val="16"/>
          <w:szCs w:val="16"/>
        </w:rPr>
      </w:pPr>
      <w:r w:rsidRPr="00464D2C">
        <w:rPr>
          <w:rStyle w:val="FootnoteReference"/>
          <w:rFonts w:asciiTheme="minorHAnsi" w:hAnsiTheme="minorHAnsi" w:cstheme="minorHAnsi"/>
          <w:sz w:val="16"/>
          <w:szCs w:val="16"/>
        </w:rPr>
        <w:footnoteRef/>
      </w:r>
      <w:r w:rsidRPr="00464D2C">
        <w:rPr>
          <w:rFonts w:asciiTheme="minorHAnsi" w:hAnsiTheme="minorHAnsi" w:cstheme="minorHAnsi"/>
          <w:sz w:val="16"/>
          <w:szCs w:val="16"/>
        </w:rPr>
        <w:t xml:space="preserve"> </w:t>
      </w:r>
      <w:r w:rsidR="00464D2C" w:rsidRPr="00464D2C">
        <w:rPr>
          <w:rFonts w:asciiTheme="minorHAnsi" w:hAnsiTheme="minorHAnsi" w:cstheme="minorHAnsi"/>
          <w:sz w:val="16"/>
          <w:szCs w:val="16"/>
        </w:rPr>
        <w:t>Pugh R, Grant C, Cooke RP, Dempsey G. Short-course versus prolonged-course antibiotic therapy for hospital-acquired pneumonia in critically ill adults. Cochrane Database Syst Rev. 2015 Aug 24;2015(8):CD007577.</w:t>
      </w:r>
    </w:p>
  </w:footnote>
  <w:footnote w:id="3">
    <w:p w14:paraId="631154ED" w14:textId="332E6649" w:rsidR="000D7ED2" w:rsidRDefault="000D7ED2" w:rsidP="000D7ED2">
      <w:pPr>
        <w:pStyle w:val="FootnoteText"/>
        <w:spacing w:after="0" w:line="240" w:lineRule="auto"/>
      </w:pPr>
      <w:r w:rsidRPr="00464D2C">
        <w:rPr>
          <w:rStyle w:val="FootnoteReference"/>
          <w:rFonts w:asciiTheme="minorHAnsi" w:hAnsiTheme="minorHAnsi" w:cstheme="minorHAnsi"/>
          <w:sz w:val="16"/>
          <w:szCs w:val="16"/>
        </w:rPr>
        <w:footnoteRef/>
      </w:r>
      <w:r w:rsidRPr="00464D2C">
        <w:rPr>
          <w:rFonts w:asciiTheme="minorHAnsi" w:hAnsiTheme="minorHAnsi" w:cstheme="minorHAnsi"/>
          <w:sz w:val="16"/>
          <w:szCs w:val="16"/>
        </w:rPr>
        <w:t xml:space="preserve"> </w:t>
      </w:r>
      <w:r w:rsidR="00464D2C" w:rsidRPr="00464D2C">
        <w:rPr>
          <w:rFonts w:asciiTheme="minorHAnsi" w:hAnsiTheme="minorHAnsi" w:cstheme="minorHAnsi"/>
          <w:color w:val="212121"/>
          <w:sz w:val="16"/>
          <w:szCs w:val="16"/>
          <w:shd w:val="clear" w:color="auto" w:fill="FFFFFF"/>
        </w:rPr>
        <w:t>Dimopoulos G, Poulakou G, Pneumatikos IA, Armaganidis A, Kollef MH, Matthaiou DK. Short- vs long-duration antibiotic regimens for ventilator-associated pneumonia: a systematic review and meta-analysis. Chest. 2013 Dec;144(6):1759-1767.</w:t>
      </w:r>
      <w:r w:rsidR="00464D2C">
        <w:rPr>
          <w:rFonts w:ascii="Segoe UI" w:hAnsi="Segoe UI" w:cs="Segoe UI"/>
          <w:color w:val="212121"/>
          <w:shd w:val="clear" w:color="auto" w:fill="FFFFFF"/>
        </w:rPr>
        <w:t xml:space="preserve"> </w:t>
      </w:r>
    </w:p>
  </w:footnote>
  <w:footnote w:id="4">
    <w:p w14:paraId="62B437BD" w14:textId="0A058478" w:rsidR="0044252C" w:rsidRPr="0044252C" w:rsidRDefault="0044252C" w:rsidP="0044252C">
      <w:pPr>
        <w:pStyle w:val="FootnoteText"/>
        <w:spacing w:after="0" w:line="240" w:lineRule="auto"/>
        <w:rPr>
          <w:sz w:val="16"/>
          <w:szCs w:val="16"/>
        </w:rPr>
      </w:pPr>
      <w:r w:rsidRPr="0044252C">
        <w:rPr>
          <w:rStyle w:val="FootnoteReference"/>
          <w:sz w:val="16"/>
          <w:szCs w:val="16"/>
        </w:rPr>
        <w:footnoteRef/>
      </w:r>
      <w:r w:rsidRPr="0044252C">
        <w:rPr>
          <w:sz w:val="16"/>
          <w:szCs w:val="16"/>
        </w:rPr>
        <w:t xml:space="preserve"> SAMF, 2022</w:t>
      </w:r>
    </w:p>
  </w:footnote>
  <w:footnote w:id="5">
    <w:p w14:paraId="6ECA9645" w14:textId="55266581" w:rsidR="00616CB2" w:rsidRDefault="00616CB2" w:rsidP="00616CB2">
      <w:pPr>
        <w:pStyle w:val="FootnoteText"/>
        <w:spacing w:after="0" w:line="240" w:lineRule="auto"/>
      </w:pPr>
      <w:r w:rsidRPr="00616CB2">
        <w:rPr>
          <w:rStyle w:val="FootnoteReference"/>
          <w:sz w:val="16"/>
          <w:szCs w:val="16"/>
        </w:rPr>
        <w:footnoteRef/>
      </w:r>
      <w:r w:rsidRPr="00616CB2">
        <w:rPr>
          <w:sz w:val="16"/>
          <w:szCs w:val="16"/>
        </w:rPr>
        <w:t xml:space="preserve"> Minutes of the NEMLC meeting of 23 June 2022</w:t>
      </w:r>
    </w:p>
  </w:footnote>
  <w:footnote w:id="6">
    <w:p w14:paraId="33CA9C78" w14:textId="77777777" w:rsidR="00616CB2" w:rsidRPr="00E8516F" w:rsidRDefault="00616CB2" w:rsidP="00E8516F">
      <w:pPr>
        <w:pStyle w:val="FootnoteText"/>
        <w:spacing w:after="0" w:line="240" w:lineRule="auto"/>
        <w:rPr>
          <w:rFonts w:asciiTheme="minorHAnsi" w:hAnsiTheme="minorHAnsi" w:cstheme="minorHAnsi"/>
          <w:sz w:val="16"/>
          <w:szCs w:val="16"/>
        </w:rPr>
      </w:pPr>
      <w:r w:rsidRPr="00E8516F">
        <w:rPr>
          <w:rStyle w:val="FootnoteReference"/>
          <w:rFonts w:asciiTheme="minorHAnsi" w:hAnsiTheme="minorHAnsi" w:cstheme="minorHAnsi"/>
          <w:sz w:val="16"/>
          <w:szCs w:val="16"/>
        </w:rPr>
        <w:footnoteRef/>
      </w:r>
      <w:r w:rsidRPr="00E8516F">
        <w:rPr>
          <w:rFonts w:asciiTheme="minorHAnsi" w:hAnsiTheme="minorHAnsi" w:cstheme="minorHAnsi"/>
          <w:sz w:val="16"/>
          <w:szCs w:val="16"/>
        </w:rPr>
        <w:t xml:space="preserve"> </w:t>
      </w:r>
      <w:r w:rsidRPr="00E8516F">
        <w:rPr>
          <w:rFonts w:asciiTheme="minorHAnsi" w:hAnsiTheme="minorHAnsi" w:cstheme="minorHAnsi"/>
          <w:spacing w:val="-2"/>
          <w:sz w:val="16"/>
          <w:szCs w:val="16"/>
          <w:lang w:val="fr-FR"/>
        </w:rPr>
        <w:t xml:space="preserve">Frean J, Grayson W. South African Tick Bite Fever: An Overview. Dermatopathology (Basel). 2019 Jun 26;6(2):70-76. </w:t>
      </w:r>
      <w:hyperlink r:id="rId1" w:history="1">
        <w:r w:rsidRPr="00E8516F">
          <w:rPr>
            <w:rStyle w:val="Hyperlink"/>
            <w:rFonts w:asciiTheme="minorHAnsi" w:hAnsiTheme="minorHAnsi" w:cstheme="minorHAnsi"/>
            <w:spacing w:val="-2"/>
            <w:sz w:val="16"/>
            <w:szCs w:val="16"/>
            <w:lang w:val="fr-FR"/>
          </w:rPr>
          <w:t>https://pubmed.ncbi.nlm.nih.gov/31700846/</w:t>
        </w:r>
      </w:hyperlink>
    </w:p>
  </w:footnote>
  <w:footnote w:id="7">
    <w:p w14:paraId="7EE1816E" w14:textId="77777777" w:rsidR="00616CB2" w:rsidRPr="00E8516F" w:rsidRDefault="00616CB2" w:rsidP="00E8516F">
      <w:pPr>
        <w:pStyle w:val="FootnoteText"/>
        <w:spacing w:after="0" w:line="240" w:lineRule="auto"/>
        <w:rPr>
          <w:rFonts w:asciiTheme="minorHAnsi" w:hAnsiTheme="minorHAnsi" w:cstheme="minorHAnsi"/>
          <w:sz w:val="16"/>
          <w:szCs w:val="16"/>
        </w:rPr>
      </w:pPr>
      <w:r w:rsidRPr="00E8516F">
        <w:rPr>
          <w:rStyle w:val="FootnoteReference"/>
          <w:rFonts w:asciiTheme="minorHAnsi" w:hAnsiTheme="minorHAnsi" w:cstheme="minorHAnsi"/>
          <w:sz w:val="16"/>
          <w:szCs w:val="16"/>
        </w:rPr>
        <w:footnoteRef/>
      </w:r>
      <w:r w:rsidRPr="00E8516F">
        <w:rPr>
          <w:rFonts w:asciiTheme="minorHAnsi" w:hAnsiTheme="minorHAnsi" w:cstheme="minorHAnsi"/>
          <w:sz w:val="16"/>
          <w:szCs w:val="16"/>
        </w:rPr>
        <w:t xml:space="preserve"> SAMF, 2022</w:t>
      </w:r>
    </w:p>
  </w:footnote>
  <w:footnote w:id="8">
    <w:p w14:paraId="2C2F50FF" w14:textId="77777777" w:rsidR="00616CB2" w:rsidRPr="00E8516F" w:rsidRDefault="00616CB2" w:rsidP="00E8516F">
      <w:pPr>
        <w:pStyle w:val="FootnoteText"/>
        <w:spacing w:after="0" w:line="240" w:lineRule="auto"/>
        <w:rPr>
          <w:rFonts w:asciiTheme="minorHAnsi" w:hAnsiTheme="minorHAnsi" w:cstheme="minorHAnsi"/>
          <w:sz w:val="16"/>
          <w:szCs w:val="16"/>
        </w:rPr>
      </w:pPr>
      <w:r w:rsidRPr="00E8516F">
        <w:rPr>
          <w:rStyle w:val="FootnoteReference"/>
          <w:rFonts w:asciiTheme="minorHAnsi" w:hAnsiTheme="minorHAnsi" w:cstheme="minorHAnsi"/>
          <w:sz w:val="16"/>
          <w:szCs w:val="16"/>
        </w:rPr>
        <w:footnoteRef/>
      </w:r>
      <w:r w:rsidRPr="00E8516F">
        <w:rPr>
          <w:rFonts w:asciiTheme="minorHAnsi" w:hAnsiTheme="minorHAnsi" w:cstheme="minorHAnsi"/>
          <w:sz w:val="16"/>
          <w:szCs w:val="16"/>
        </w:rPr>
        <w:t xml:space="preserve"> Cross R, Ling C, Day NP, McGready R, Paris DH. Revisiting doxycycline in pregnancy and early childhood--time to rebuild its reputation? Expert Opin Drug Saf. 2016;15(3):367-82. </w:t>
      </w:r>
      <w:hyperlink r:id="rId2" w:history="1">
        <w:r w:rsidRPr="00E8516F">
          <w:rPr>
            <w:rStyle w:val="Hyperlink"/>
            <w:rFonts w:asciiTheme="minorHAnsi" w:hAnsiTheme="minorHAnsi" w:cstheme="minorHAnsi"/>
            <w:sz w:val="16"/>
            <w:szCs w:val="16"/>
          </w:rPr>
          <w:t>https://pubmed.ncbi.nlm.nih.gov/26680308/</w:t>
        </w:r>
      </w:hyperlink>
      <w:r w:rsidRPr="00E8516F">
        <w:rPr>
          <w:rFonts w:asciiTheme="minorHAnsi" w:hAnsiTheme="minorHAnsi" w:cstheme="minorHAnsi"/>
          <w:sz w:val="16"/>
          <w:szCs w:val="16"/>
        </w:rPr>
        <w:t xml:space="preserve"> </w:t>
      </w:r>
    </w:p>
  </w:footnote>
  <w:footnote w:id="9">
    <w:p w14:paraId="2E43202D" w14:textId="77777777" w:rsidR="00616CB2" w:rsidRPr="00E8516F" w:rsidRDefault="00616CB2" w:rsidP="00E8516F">
      <w:pPr>
        <w:pStyle w:val="FootnoteText"/>
        <w:spacing w:after="0" w:line="240" w:lineRule="auto"/>
        <w:rPr>
          <w:rFonts w:asciiTheme="minorHAnsi" w:hAnsiTheme="minorHAnsi" w:cstheme="minorHAnsi"/>
          <w:sz w:val="16"/>
          <w:szCs w:val="16"/>
        </w:rPr>
      </w:pPr>
      <w:r w:rsidRPr="00E8516F">
        <w:rPr>
          <w:rStyle w:val="FootnoteReference"/>
          <w:rFonts w:asciiTheme="minorHAnsi" w:hAnsiTheme="minorHAnsi" w:cstheme="minorHAnsi"/>
          <w:sz w:val="16"/>
          <w:szCs w:val="16"/>
        </w:rPr>
        <w:footnoteRef/>
      </w:r>
      <w:r w:rsidRPr="00E8516F">
        <w:rPr>
          <w:rFonts w:asciiTheme="minorHAnsi" w:hAnsiTheme="minorHAnsi" w:cstheme="minorHAnsi"/>
          <w:sz w:val="16"/>
          <w:szCs w:val="16"/>
        </w:rPr>
        <w:t xml:space="preserve"> Cooper WO, Hernandez-Diaz S, Arbogast PG, Dudley JA, Dyer SM, Gideon PS, et al. Antibiotics potentially used in response to bioterrorism and the risk of major congenital malformations. Paediatr Perinat Epidemiol. 2009 Jan;23(1):18-28. </w:t>
      </w:r>
      <w:hyperlink r:id="rId3" w:history="1">
        <w:r w:rsidRPr="00E8516F">
          <w:rPr>
            <w:rStyle w:val="Hyperlink"/>
            <w:rFonts w:asciiTheme="minorHAnsi" w:hAnsiTheme="minorHAnsi" w:cstheme="minorHAnsi"/>
            <w:sz w:val="16"/>
            <w:szCs w:val="16"/>
          </w:rPr>
          <w:t>https://pubmed.ncbi.nlm.nih.gov/19228311/</w:t>
        </w:r>
      </w:hyperlink>
      <w:r w:rsidRPr="00E8516F">
        <w:rPr>
          <w:rFonts w:asciiTheme="minorHAnsi" w:hAnsiTheme="minorHAnsi" w:cstheme="minorHAnsi"/>
          <w:sz w:val="16"/>
          <w:szCs w:val="16"/>
        </w:rPr>
        <w:t xml:space="preserve"> </w:t>
      </w:r>
    </w:p>
  </w:footnote>
  <w:footnote w:id="10">
    <w:p w14:paraId="60363A82" w14:textId="77777777" w:rsidR="00616CB2" w:rsidRPr="005D0970" w:rsidRDefault="00616CB2" w:rsidP="00E8516F">
      <w:pPr>
        <w:autoSpaceDE w:val="0"/>
        <w:autoSpaceDN w:val="0"/>
        <w:adjustRightInd w:val="0"/>
        <w:spacing w:after="0" w:line="240" w:lineRule="auto"/>
        <w:rPr>
          <w:rFonts w:cstheme="minorHAnsi"/>
          <w:sz w:val="16"/>
          <w:szCs w:val="16"/>
        </w:rPr>
      </w:pPr>
      <w:r w:rsidRPr="00E8516F">
        <w:rPr>
          <w:rStyle w:val="FootnoteReference"/>
          <w:rFonts w:asciiTheme="minorHAnsi" w:hAnsiTheme="minorHAnsi" w:cstheme="minorHAnsi"/>
          <w:sz w:val="16"/>
          <w:szCs w:val="16"/>
        </w:rPr>
        <w:footnoteRef/>
      </w:r>
      <w:r w:rsidRPr="00E8516F">
        <w:rPr>
          <w:rFonts w:asciiTheme="minorHAnsi" w:hAnsiTheme="minorHAnsi" w:cstheme="minorHAnsi"/>
          <w:sz w:val="16"/>
          <w:szCs w:val="16"/>
        </w:rPr>
        <w:t xml:space="preserve"> </w:t>
      </w:r>
      <w:r w:rsidRPr="00E8516F">
        <w:rPr>
          <w:rFonts w:asciiTheme="minorHAnsi" w:hAnsiTheme="minorHAnsi" w:cstheme="minorHAnsi"/>
          <w:color w:val="000000"/>
          <w:sz w:val="16"/>
          <w:szCs w:val="16"/>
        </w:rPr>
        <w:t xml:space="preserve">McGready R, Prakash JA, Benjamin SJ, Watthanaworawit W, Anantatat T, Tanganuchitcharnchai A, et al. Pregnancy outcome in relation to treatment of murine typhus and scrub typhus infection: a fever cohort and a case series analysis. PLoS Negl Trop Dis. 2014 Nov 20;8(11):e3327. </w:t>
      </w:r>
      <w:hyperlink r:id="rId4" w:history="1">
        <w:r w:rsidRPr="00E8516F">
          <w:rPr>
            <w:rStyle w:val="Hyperlink"/>
            <w:rFonts w:asciiTheme="minorHAnsi" w:hAnsiTheme="minorHAnsi" w:cstheme="minorHAnsi"/>
            <w:sz w:val="16"/>
            <w:szCs w:val="16"/>
          </w:rPr>
          <w:t>https://pubmed.ncbi.nlm.nih.gov/25412503/</w:t>
        </w:r>
      </w:hyperlink>
      <w:r>
        <w:rPr>
          <w:rFonts w:cstheme="minorHAnsi"/>
          <w:color w:val="000000"/>
          <w:sz w:val="16"/>
          <w:szCs w:val="16"/>
        </w:rPr>
        <w:t xml:space="preserve"> </w:t>
      </w:r>
    </w:p>
  </w:footnote>
  <w:footnote w:id="11">
    <w:p w14:paraId="2B77A44C" w14:textId="67E0D389" w:rsidR="005F68AF" w:rsidRPr="005F68AF" w:rsidRDefault="005F68AF" w:rsidP="005F68AF">
      <w:pPr>
        <w:pStyle w:val="FootnoteText"/>
        <w:spacing w:after="0" w:line="240" w:lineRule="auto"/>
        <w:rPr>
          <w:sz w:val="16"/>
          <w:szCs w:val="16"/>
        </w:rPr>
      </w:pPr>
      <w:r w:rsidRPr="005F68AF">
        <w:rPr>
          <w:rStyle w:val="FootnoteReference"/>
          <w:sz w:val="16"/>
          <w:szCs w:val="16"/>
        </w:rPr>
        <w:footnoteRef/>
      </w:r>
      <w:r w:rsidRPr="005F68AF">
        <w:rPr>
          <w:sz w:val="16"/>
          <w:szCs w:val="16"/>
        </w:rPr>
        <w:t xml:space="preserve"> Centers for Disease Control and Prevention (CDC). Updated recommendations for use of VariZIG--United States, 2013. MMWR Morb Mortal Wkly Rep. 2013 Jul 19;62(28):574-6.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7E5F" w14:textId="224DB00C" w:rsidR="007658D4" w:rsidRDefault="00000000">
    <w:pPr>
      <w:pStyle w:val="Header"/>
    </w:pPr>
    <w:r>
      <w:rPr>
        <w:noProof/>
      </w:rPr>
      <w:pict w14:anchorId="78AD1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532422" o:spid="_x0000_s1026" type="#_x0000_t136" style="position:absolute;margin-left:0;margin-top:0;width:590.25pt;height:147.55pt;rotation:315;z-index:-251654656;mso-position-horizontal:center;mso-position-horizontal-relative:margin;mso-position-vertical:center;mso-position-vertical-relative:margin" o:allowincell="f" fillcolor="silver" stroked="f">
          <v:fill opacity=".5"/>
          <v:textpath style="font-family:&quot;Calibri&quot;;font-size:1pt" string="FOR COMMENT"/>
          <w10:wrap anchorx="margin" anchory="margin"/>
        </v:shape>
      </w:pict>
    </w:r>
    <w:r w:rsidR="00821BC6">
      <w:rPr>
        <w:noProof/>
        <w:lang w:val="en-US"/>
      </w:rPr>
      <mc:AlternateContent>
        <mc:Choice Requires="wps">
          <w:drawing>
            <wp:anchor distT="0" distB="0" distL="114300" distR="114300" simplePos="0" relativeHeight="251656704" behindDoc="1" locked="0" layoutInCell="0" allowOverlap="1" wp14:anchorId="7B908B1A" wp14:editId="4017C31E">
              <wp:simplePos x="0" y="0"/>
              <wp:positionH relativeFrom="margin">
                <wp:align>center</wp:align>
              </wp:positionH>
              <wp:positionV relativeFrom="margin">
                <wp:align>center</wp:align>
              </wp:positionV>
              <wp:extent cx="7495540" cy="1873885"/>
              <wp:effectExtent l="0" t="2228850" r="0" b="19456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5540"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E208A7" w14:textId="77777777" w:rsidR="00821BC6" w:rsidRDefault="00821BC6" w:rsidP="00821BC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FOR COMMENT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08B1A" id="_x0000_t202" coordsize="21600,21600" o:spt="202" path="m,l,21600r21600,l21600,xe">
              <v:stroke joinstyle="miter"/>
              <v:path gradientshapeok="t" o:connecttype="rect"/>
            </v:shapetype>
            <v:shape id="Text Box 2" o:spid="_x0000_s1026" type="#_x0000_t202" style="position:absolute;margin-left:0;margin-top:0;width:590.2pt;height:147.5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FN9AEAAMUDAAAOAAAAZHJzL2Uyb0RvYy54bWysU8Fy0zAQvTPDP2h0J7ZLQ11PnE5oKZcC&#10;nWmYnhVJjg2WVqyU2Pn7rhQ3YeDG4IPGXklv33v7vLgZTc/2Gn0HtubFLOdMWwmqs9uaf1/fvys5&#10;80FYJXqwuuYH7fnN8u2bxeAqfQEt9EojIxDrq8HVvA3BVVnmZauN8DNw2tJmA2hEoE/cZgrFQOim&#10;zy7y/EM2ACqHILX3VL07bvJlwm8aLcO3pvE6sL7mxC2kFdO6iWu2XIhqi8K1nZxoiH9gYURnqekJ&#10;6k4EwXbY/QVlOongoQkzCSaDpumkThpITZH/oeapFU4nLWSOdyeb/P+DlV/3T+4RWRg/wkgDTCK8&#10;ewD50zMLt62wW71ChKHVQlHjgp/Kid764GisqbrWY/ikOvK4iL5mg/PVhB/n4SsfO22GL6DoitgF&#10;SN3GBg1DiNfK6zw+qUzeMGJEQzucBkUNmKTi1eX1fH5JW5L2ivLqfVnOU0tRRbQ4CIc+fNZgWHyp&#10;OVISEqzYP/gQ2Z2PTFQjuyPPMG5GOhIpb0AdiPRACam5/7UTqMmAnbkFChSpbhDMM0VwhUn2a+f1&#10;+CzQTb0D0X7sXxOSCKSoKGaFiU6oHwRkegreXvRsniw4UpwOT2SPqPGudyuy775LSs48JyWUlSRw&#10;ynUM4+/f6dT571u+AAAA//8DAFBLAwQUAAYACAAAACEAP84BgNwAAAAGAQAADwAAAGRycy9kb3du&#10;cmV2LnhtbEyPzU7DMBCE70i8g7VI3KiT8qMS4lSIiEOPbRHnbbxN0trrEDtNytPjcoHLSqMZzXyb&#10;LydrxIl63zpWkM4SEMSV0y3XCj6273cLED4gazSOScGZPCyL66scM+1GXtNpE2oRS9hnqKAJocuk&#10;9FVDFv3MdcTR27veYoiyr6XucYzl1sh5kjxJiy3HhQY7emuoOm4Gq0B/78/d/ThuV6t1OXyZtizp&#10;86DU7c30+gIi0BT+wnDBj+hQRKadG1h7YRTER8LvvXjpInkAsVMwf35MQRa5/I9f/AAAAP//AwBQ&#10;SwECLQAUAAYACAAAACEAtoM4kv4AAADhAQAAEwAAAAAAAAAAAAAAAAAAAAAAW0NvbnRlbnRfVHlw&#10;ZXNdLnhtbFBLAQItABQABgAIAAAAIQA4/SH/1gAAAJQBAAALAAAAAAAAAAAAAAAAAC8BAABfcmVs&#10;cy8ucmVsc1BLAQItABQABgAIAAAAIQATj7FN9AEAAMUDAAAOAAAAAAAAAAAAAAAAAC4CAABkcnMv&#10;ZTJvRG9jLnhtbFBLAQItABQABgAIAAAAIQA/zgGA3AAAAAYBAAAPAAAAAAAAAAAAAAAAAE4EAABk&#10;cnMvZG93bnJldi54bWxQSwUGAAAAAAQABADzAAAAVwUAAAAA&#10;" o:allowincell="f" filled="f" stroked="f">
              <v:stroke joinstyle="round"/>
              <o:lock v:ext="edit" shapetype="t"/>
              <v:textbox style="mso-fit-shape-to-text:t">
                <w:txbxContent>
                  <w:p w14:paraId="2DE208A7" w14:textId="77777777" w:rsidR="00821BC6" w:rsidRDefault="00821BC6" w:rsidP="00821BC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FOR COMMENT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0457" w14:textId="52B33563" w:rsidR="007658D4" w:rsidRDefault="00000000">
    <w:pPr>
      <w:pStyle w:val="Header"/>
    </w:pPr>
    <w:r>
      <w:rPr>
        <w:noProof/>
      </w:rPr>
      <w:pict w14:anchorId="2CA1B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532423" o:spid="_x0000_s1027" type="#_x0000_t136" style="position:absolute;margin-left:0;margin-top:0;width:590.25pt;height:147.55pt;rotation:315;z-index:-251652608;mso-position-horizontal:center;mso-position-horizontal-relative:margin;mso-position-vertical:center;mso-position-vertical-relative:margin" o:allowincell="f" fillcolor="silver" stroked="f">
          <v:fill opacity=".5"/>
          <v:textpath style="font-family:&quot;Calibri&quot;;font-size:1pt" string="FOR COMMENT"/>
          <w10:wrap anchorx="margin" anchory="margin"/>
        </v:shape>
      </w:pict>
    </w:r>
    <w:r w:rsidR="00821BC6">
      <w:rPr>
        <w:noProof/>
        <w:lang w:val="en-US"/>
      </w:rPr>
      <mc:AlternateContent>
        <mc:Choice Requires="wps">
          <w:drawing>
            <wp:anchor distT="0" distB="0" distL="114300" distR="114300" simplePos="0" relativeHeight="251657728" behindDoc="1" locked="0" layoutInCell="0" allowOverlap="1" wp14:anchorId="6B9C083A" wp14:editId="5B5021E3">
              <wp:simplePos x="0" y="0"/>
              <wp:positionH relativeFrom="margin">
                <wp:align>center</wp:align>
              </wp:positionH>
              <wp:positionV relativeFrom="margin">
                <wp:align>center</wp:align>
              </wp:positionV>
              <wp:extent cx="7495540" cy="1873885"/>
              <wp:effectExtent l="0" t="2228850" r="0" b="19456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5540"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A80959" w14:textId="77777777" w:rsidR="00821BC6" w:rsidRDefault="00821BC6" w:rsidP="00821BC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FOR COMMENT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C083A" id="_x0000_t202" coordsize="21600,21600" o:spt="202" path="m,l,21600r21600,l21600,xe">
              <v:stroke joinstyle="miter"/>
              <v:path gradientshapeok="t" o:connecttype="rect"/>
            </v:shapetype>
            <v:shape id="Text Box 1" o:spid="_x0000_s1027" type="#_x0000_t202" style="position:absolute;margin-left:0;margin-top:0;width:590.2pt;height:147.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VT9gEAAMwDAAAOAAAAZHJzL2Uyb0RvYy54bWysU8Fy0zAQvTPDP2h0J7ZLQ11PnE5oKZcC&#10;nWmYnhVJjg2WVqyU2Pn7rhQ3YeDG4IPGXklv33v7vLgZTc/2Gn0HtubFLOdMWwmqs9uaf1/fvys5&#10;80FYJXqwuuYH7fnN8u2bxeAqfQEt9EojIxDrq8HVvA3BVVnmZauN8DNw2tJmA2hEoE/cZgrFQOim&#10;zy7y/EM2ACqHILX3VL07bvJlwm8aLcO3pvE6sL7mxC2kFdO6iWu2XIhqi8K1nZxoiH9gYURnqekJ&#10;6k4EwXbY/QVlOongoQkzCSaDpumkThpITZH/oeapFU4nLWSOdyeb/P+DlV/3T+4RWRg/wkgDTCK8&#10;ewD50zMLt62wW71ChKHVQlHjgp/Kid764GisqbrWY/ikOvK4iL5mg/PVhB/n4SsfO22GL6DoitgF&#10;SN3GBg1DiNfK6zw+qUzeMGJEQzucBkUNmKTi1eX1fH5JW5L2ivLqfVnOU0tRRbQ4CIc+fNZgWHyp&#10;OVISEqzYP/gQ2Z2PTFQjuyPPMG5G1qlJR2S+AXUg7gMFpeb+106gJh925hYoVyS+QTDPlMQVJvWv&#10;BNbjs0A3UQjE/rF/DUrikRKjmBUmGqJ+EJDpKX970bN5cuLIdDo8cT6ixrvercjF+y4JOvOcBFFk&#10;ks4p3jGTv3+nU+efcPkCAAD//wMAUEsDBBQABgAIAAAAIQA/zgGA3AAAAAYBAAAPAAAAZHJzL2Rv&#10;d25yZXYueG1sTI/NTsMwEITvSLyDtUjcqJPyoxLiVIiIQ49tEedtvE3S2usQO03K0+NygctKoxnN&#10;fJsvJ2vEiXrfOlaQzhIQxJXTLdcKPrbvdwsQPiBrNI5JwZk8LIvrqxwz7UZe02kTahFL2GeooAmh&#10;y6T0VUMW/cx1xNHbu95iiLKvpe5xjOXWyHmSPEmLLceFBjt6a6g6bgarQH/vz939OG5Xq3U5fJm2&#10;LOnzoNTtzfT6AiLQFP7CcMGP6FBEpp0bWHthFMRHwu+9eOkieQCxUzB/fkxBFrn8j1/8AAAA//8D&#10;AFBLAQItABQABgAIAAAAIQC2gziS/gAAAOEBAAATAAAAAAAAAAAAAAAAAAAAAABbQ29udGVudF9U&#10;eXBlc10ueG1sUEsBAi0AFAAGAAgAAAAhADj9If/WAAAAlAEAAAsAAAAAAAAAAAAAAAAALwEAAF9y&#10;ZWxzLy5yZWxzUEsBAi0AFAAGAAgAAAAhALe7VVP2AQAAzAMAAA4AAAAAAAAAAAAAAAAALgIAAGRy&#10;cy9lMm9Eb2MueG1sUEsBAi0AFAAGAAgAAAAhAD/OAYDcAAAABgEAAA8AAAAAAAAAAAAAAAAAUAQA&#10;AGRycy9kb3ducmV2LnhtbFBLBQYAAAAABAAEAPMAAABZBQAAAAA=&#10;" o:allowincell="f" filled="f" stroked="f">
              <v:stroke joinstyle="round"/>
              <o:lock v:ext="edit" shapetype="t"/>
              <v:textbox style="mso-fit-shape-to-text:t">
                <w:txbxContent>
                  <w:p w14:paraId="78A80959" w14:textId="77777777" w:rsidR="00821BC6" w:rsidRDefault="00821BC6" w:rsidP="00821BC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FOR COMMENT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752F" w14:textId="7BD086B2" w:rsidR="00503408" w:rsidRDefault="00000000">
    <w:pPr>
      <w:pStyle w:val="Header"/>
    </w:pPr>
    <w:r>
      <w:rPr>
        <w:noProof/>
      </w:rPr>
      <w:pict w14:anchorId="14E04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532421" o:spid="_x0000_s1025" type="#_x0000_t136" style="position:absolute;margin-left:0;margin-top:0;width:590.25pt;height:147.55pt;rotation:315;z-index:-251656704;mso-position-horizontal:center;mso-position-horizontal-relative:margin;mso-position-vertical:center;mso-position-vertical-relative:margin" o:allowincell="f" fillcolor="silver" stroked="f">
          <v:fill opacity=".5"/>
          <v:textpath style="font-family:&quot;Calibri&quot;;font-size:1pt" string="FOR COM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5F32"/>
    <w:multiLevelType w:val="hybridMultilevel"/>
    <w:tmpl w:val="AB80EA16"/>
    <w:lvl w:ilvl="0" w:tplc="48E00C04">
      <w:start w:val="1"/>
      <w:numFmt w:val="bullet"/>
      <w:lvlText w:val="»"/>
      <w:lvlJc w:val="left"/>
      <w:pPr>
        <w:ind w:left="360" w:hanging="360"/>
      </w:pPr>
      <w:rPr>
        <w:rFonts w:ascii="Arial" w:hAnsi="Arial" w:hint="default"/>
        <w:b w:val="0"/>
        <w:i w:val="0"/>
        <w:caps w:val="0"/>
        <w:smallCaps w:val="0"/>
        <w:strike w:val="0"/>
        <w:dstrike w:val="0"/>
        <w:color w:val="000000"/>
        <w:spacing w:val="0"/>
        <w:w w:val="100"/>
        <w:kern w:val="0"/>
        <w:position w:val="4"/>
        <w:sz w:val="18"/>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263115C"/>
    <w:multiLevelType w:val="hybridMultilevel"/>
    <w:tmpl w:val="976EC9FE"/>
    <w:lvl w:ilvl="0" w:tplc="1C090001">
      <w:start w:val="1"/>
      <w:numFmt w:val="bullet"/>
      <w:lvlText w:val=""/>
      <w:lvlJc w:val="left"/>
      <w:pPr>
        <w:ind w:left="360" w:hanging="360"/>
      </w:pPr>
      <w:rPr>
        <w:rFonts w:ascii="Symbol" w:hAnsi="Symbol" w:hint="default"/>
        <w:color w:val="000000"/>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5F22"/>
    <w:multiLevelType w:val="hybridMultilevel"/>
    <w:tmpl w:val="F04883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F046ADF"/>
    <w:multiLevelType w:val="hybridMultilevel"/>
    <w:tmpl w:val="89621908"/>
    <w:lvl w:ilvl="0" w:tplc="04090003">
      <w:start w:val="1"/>
      <w:numFmt w:val="bullet"/>
      <w:lvlText w:val="o"/>
      <w:lvlJc w:val="left"/>
      <w:pPr>
        <w:ind w:left="720" w:hanging="360"/>
      </w:pPr>
      <w:rPr>
        <w:rFonts w:ascii="Courier New" w:hAnsi="Courier New" w:hint="default"/>
      </w:rPr>
    </w:lvl>
    <w:lvl w:ilvl="1" w:tplc="2B30180E">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B150AD"/>
    <w:multiLevelType w:val="hybridMultilevel"/>
    <w:tmpl w:val="FF96ABF8"/>
    <w:lvl w:ilvl="0" w:tplc="713ED004">
      <w:numFmt w:val="none"/>
      <w:pStyle w:val="Textbullet"/>
      <w:lvlText w:val="»"/>
      <w:lvlJc w:val="left"/>
      <w:pPr>
        <w:ind w:left="360" w:hanging="360"/>
      </w:pPr>
      <w:rPr>
        <w:rFonts w:hint="default"/>
      </w:rPr>
    </w:lvl>
    <w:lvl w:ilvl="1" w:tplc="1EB45E38">
      <w:numFmt w:val="bullet"/>
      <w:lvlText w:val="&gt;"/>
      <w:lvlJc w:val="left"/>
      <w:pPr>
        <w:ind w:left="1080" w:hanging="360"/>
      </w:pPr>
      <w:rPr>
        <w:rFonts w:ascii="Courier New" w:hAnsi="Courier New" w:hint="default"/>
        <w:b/>
        <w:i w:val="0"/>
        <w:sz w:val="14"/>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D2C7C57"/>
    <w:multiLevelType w:val="singleLevel"/>
    <w:tmpl w:val="791EE6C6"/>
    <w:lvl w:ilvl="0">
      <w:start w:val="1"/>
      <w:numFmt w:val="bullet"/>
      <w:lvlText w:val=""/>
      <w:lvlJc w:val="left"/>
      <w:pPr>
        <w:ind w:left="360" w:hanging="360"/>
      </w:pPr>
      <w:rPr>
        <w:rFonts w:ascii="Symbol" w:hAnsi="Symbol" w:hint="default"/>
        <w:b w:val="0"/>
        <w:i w:val="0"/>
        <w:color w:val="000000"/>
        <w:sz w:val="18"/>
      </w:rPr>
    </w:lvl>
  </w:abstractNum>
  <w:abstractNum w:abstractNumId="6" w15:restartNumberingAfterBreak="0">
    <w:nsid w:val="406767E8"/>
    <w:multiLevelType w:val="hybridMultilevel"/>
    <w:tmpl w:val="3290317E"/>
    <w:lvl w:ilvl="0" w:tplc="AFF4BE8C">
      <w:numFmt w:val="none"/>
      <w:lvlText w:val="»"/>
      <w:lvlJc w:val="left"/>
      <w:pPr>
        <w:ind w:left="360" w:hanging="360"/>
      </w:pPr>
      <w:rPr>
        <w:rFont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84108E"/>
    <w:multiLevelType w:val="hybridMultilevel"/>
    <w:tmpl w:val="EBD4E57C"/>
    <w:lvl w:ilvl="0" w:tplc="1C090001">
      <w:start w:val="1"/>
      <w:numFmt w:val="bullet"/>
      <w:lvlText w:val=""/>
      <w:lvlJc w:val="left"/>
      <w:pPr>
        <w:ind w:left="360" w:hanging="360"/>
      </w:pPr>
      <w:rPr>
        <w:rFonts w:ascii="Symbol" w:hAnsi="Symbol" w:hint="default"/>
        <w:b w:val="0"/>
        <w:i w:val="0"/>
        <w:caps w:val="0"/>
        <w:smallCaps w:val="0"/>
        <w:strike w:val="0"/>
        <w:dstrike w:val="0"/>
        <w:color w:val="000000"/>
        <w:spacing w:val="0"/>
        <w:w w:val="100"/>
        <w:kern w:val="0"/>
        <w:position w:val="4"/>
        <w:sz w:val="18"/>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6BF731A7"/>
    <w:multiLevelType w:val="multilevel"/>
    <w:tmpl w:val="BDA4EB8A"/>
    <w:lvl w:ilvl="0">
      <w:start w:val="1"/>
      <w:numFmt w:val="bullet"/>
      <w:pStyle w:val="BulletMedicine"/>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7FD6CAD"/>
    <w:multiLevelType w:val="hybridMultilevel"/>
    <w:tmpl w:val="C9D21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E710E89"/>
    <w:multiLevelType w:val="hybridMultilevel"/>
    <w:tmpl w:val="B4B87B44"/>
    <w:lvl w:ilvl="0" w:tplc="2B30180E">
      <w:start w:val="1"/>
      <w:numFmt w:val="bullet"/>
      <w:lvlText w:val="-"/>
      <w:lvlJc w:val="left"/>
      <w:pPr>
        <w:ind w:left="1287" w:hanging="360"/>
      </w:pPr>
      <w:rPr>
        <w:rFonts w:ascii="Courier New" w:hAnsi="Courier New"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16cid:durableId="147475651">
    <w:abstractNumId w:val="4"/>
  </w:num>
  <w:num w:numId="2" w16cid:durableId="98456318">
    <w:abstractNumId w:val="1"/>
  </w:num>
  <w:num w:numId="3" w16cid:durableId="1556575556">
    <w:abstractNumId w:val="0"/>
  </w:num>
  <w:num w:numId="4" w16cid:durableId="1707677129">
    <w:abstractNumId w:val="5"/>
  </w:num>
  <w:num w:numId="5" w16cid:durableId="187105672">
    <w:abstractNumId w:val="3"/>
  </w:num>
  <w:num w:numId="6" w16cid:durableId="1007750185">
    <w:abstractNumId w:val="7"/>
  </w:num>
  <w:num w:numId="7" w16cid:durableId="1743718583">
    <w:abstractNumId w:val="10"/>
  </w:num>
  <w:num w:numId="8" w16cid:durableId="1547179429">
    <w:abstractNumId w:val="8"/>
  </w:num>
  <w:num w:numId="9" w16cid:durableId="977031085">
    <w:abstractNumId w:val="6"/>
  </w:num>
  <w:num w:numId="10" w16cid:durableId="1285774381">
    <w:abstractNumId w:val="9"/>
  </w:num>
  <w:num w:numId="11" w16cid:durableId="86521190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44"/>
    <w:rsid w:val="0000140D"/>
    <w:rsid w:val="00033E23"/>
    <w:rsid w:val="00044699"/>
    <w:rsid w:val="00052BA2"/>
    <w:rsid w:val="00065911"/>
    <w:rsid w:val="00074BE8"/>
    <w:rsid w:val="00077683"/>
    <w:rsid w:val="000B6C86"/>
    <w:rsid w:val="000C06A2"/>
    <w:rsid w:val="000D3C30"/>
    <w:rsid w:val="000D55CA"/>
    <w:rsid w:val="000D774D"/>
    <w:rsid w:val="000D7ED2"/>
    <w:rsid w:val="000F47FE"/>
    <w:rsid w:val="000F756F"/>
    <w:rsid w:val="0010092B"/>
    <w:rsid w:val="001018DF"/>
    <w:rsid w:val="00107291"/>
    <w:rsid w:val="001168A8"/>
    <w:rsid w:val="00124E75"/>
    <w:rsid w:val="00142D6D"/>
    <w:rsid w:val="00175266"/>
    <w:rsid w:val="001778CB"/>
    <w:rsid w:val="001A6F75"/>
    <w:rsid w:val="001B711F"/>
    <w:rsid w:val="001B7526"/>
    <w:rsid w:val="001C7601"/>
    <w:rsid w:val="001D5284"/>
    <w:rsid w:val="001E2EC2"/>
    <w:rsid w:val="001E5BB1"/>
    <w:rsid w:val="001E68F3"/>
    <w:rsid w:val="001F7BB8"/>
    <w:rsid w:val="001F7FDF"/>
    <w:rsid w:val="00211235"/>
    <w:rsid w:val="00226D35"/>
    <w:rsid w:val="00247087"/>
    <w:rsid w:val="0024726C"/>
    <w:rsid w:val="00251A7C"/>
    <w:rsid w:val="0025748F"/>
    <w:rsid w:val="00265FBC"/>
    <w:rsid w:val="0027410B"/>
    <w:rsid w:val="0027593C"/>
    <w:rsid w:val="002A253B"/>
    <w:rsid w:val="002B0211"/>
    <w:rsid w:val="002C7E08"/>
    <w:rsid w:val="00306D92"/>
    <w:rsid w:val="00314456"/>
    <w:rsid w:val="00335BA4"/>
    <w:rsid w:val="00367BF4"/>
    <w:rsid w:val="003704DB"/>
    <w:rsid w:val="00375A5A"/>
    <w:rsid w:val="003871DB"/>
    <w:rsid w:val="00392799"/>
    <w:rsid w:val="003A76DD"/>
    <w:rsid w:val="003B0ED7"/>
    <w:rsid w:val="003C1655"/>
    <w:rsid w:val="003C1F15"/>
    <w:rsid w:val="003D2122"/>
    <w:rsid w:val="00400E3B"/>
    <w:rsid w:val="00406BE5"/>
    <w:rsid w:val="004133D7"/>
    <w:rsid w:val="00435017"/>
    <w:rsid w:val="00441C9F"/>
    <w:rsid w:val="0044252C"/>
    <w:rsid w:val="00460FB8"/>
    <w:rsid w:val="00463074"/>
    <w:rsid w:val="00464D2C"/>
    <w:rsid w:val="004671D8"/>
    <w:rsid w:val="004735B1"/>
    <w:rsid w:val="0049475D"/>
    <w:rsid w:val="004A14A8"/>
    <w:rsid w:val="004A4013"/>
    <w:rsid w:val="004A59FD"/>
    <w:rsid w:val="004B34E3"/>
    <w:rsid w:val="004B4A89"/>
    <w:rsid w:val="004D0F94"/>
    <w:rsid w:val="004E33BA"/>
    <w:rsid w:val="00503408"/>
    <w:rsid w:val="00503C1A"/>
    <w:rsid w:val="00516B6D"/>
    <w:rsid w:val="00517694"/>
    <w:rsid w:val="00547506"/>
    <w:rsid w:val="00580888"/>
    <w:rsid w:val="00583229"/>
    <w:rsid w:val="00592FFC"/>
    <w:rsid w:val="005C122F"/>
    <w:rsid w:val="005D4466"/>
    <w:rsid w:val="005D7046"/>
    <w:rsid w:val="005E1938"/>
    <w:rsid w:val="005F68AF"/>
    <w:rsid w:val="0061594C"/>
    <w:rsid w:val="00616CB2"/>
    <w:rsid w:val="006453FF"/>
    <w:rsid w:val="00650F05"/>
    <w:rsid w:val="00667B6D"/>
    <w:rsid w:val="006715DD"/>
    <w:rsid w:val="00683637"/>
    <w:rsid w:val="00687E6D"/>
    <w:rsid w:val="006A1509"/>
    <w:rsid w:val="006A6E55"/>
    <w:rsid w:val="006C7F25"/>
    <w:rsid w:val="006D67B9"/>
    <w:rsid w:val="006F7E1D"/>
    <w:rsid w:val="007065FB"/>
    <w:rsid w:val="00707923"/>
    <w:rsid w:val="00722DD7"/>
    <w:rsid w:val="00734D13"/>
    <w:rsid w:val="007658D4"/>
    <w:rsid w:val="007827FF"/>
    <w:rsid w:val="007870D9"/>
    <w:rsid w:val="007B2427"/>
    <w:rsid w:val="007B3071"/>
    <w:rsid w:val="007B65DD"/>
    <w:rsid w:val="007B7FD6"/>
    <w:rsid w:val="007D3B75"/>
    <w:rsid w:val="007E376C"/>
    <w:rsid w:val="007E47A5"/>
    <w:rsid w:val="007F1093"/>
    <w:rsid w:val="00802016"/>
    <w:rsid w:val="00821BC6"/>
    <w:rsid w:val="00822944"/>
    <w:rsid w:val="00823CFE"/>
    <w:rsid w:val="0082600F"/>
    <w:rsid w:val="00826545"/>
    <w:rsid w:val="00826F89"/>
    <w:rsid w:val="00837DA9"/>
    <w:rsid w:val="00840384"/>
    <w:rsid w:val="008465CE"/>
    <w:rsid w:val="00860044"/>
    <w:rsid w:val="00861822"/>
    <w:rsid w:val="00863630"/>
    <w:rsid w:val="00871BB6"/>
    <w:rsid w:val="008731B1"/>
    <w:rsid w:val="008A38D6"/>
    <w:rsid w:val="008B5FD2"/>
    <w:rsid w:val="008D789D"/>
    <w:rsid w:val="008F728F"/>
    <w:rsid w:val="009025CD"/>
    <w:rsid w:val="0090730B"/>
    <w:rsid w:val="00922C74"/>
    <w:rsid w:val="00934C24"/>
    <w:rsid w:val="0094466E"/>
    <w:rsid w:val="00946C78"/>
    <w:rsid w:val="00952AAD"/>
    <w:rsid w:val="00954696"/>
    <w:rsid w:val="00965B2A"/>
    <w:rsid w:val="00975186"/>
    <w:rsid w:val="00975AD0"/>
    <w:rsid w:val="00984AF2"/>
    <w:rsid w:val="0098540B"/>
    <w:rsid w:val="00986A52"/>
    <w:rsid w:val="00993DFA"/>
    <w:rsid w:val="009B3014"/>
    <w:rsid w:val="009C3F40"/>
    <w:rsid w:val="009D0AB2"/>
    <w:rsid w:val="009D3DEE"/>
    <w:rsid w:val="00A05AF1"/>
    <w:rsid w:val="00A134E2"/>
    <w:rsid w:val="00A26490"/>
    <w:rsid w:val="00A54DA4"/>
    <w:rsid w:val="00A60953"/>
    <w:rsid w:val="00A97B40"/>
    <w:rsid w:val="00AA6863"/>
    <w:rsid w:val="00AE3FC9"/>
    <w:rsid w:val="00B13118"/>
    <w:rsid w:val="00B15668"/>
    <w:rsid w:val="00B47E7F"/>
    <w:rsid w:val="00B54C01"/>
    <w:rsid w:val="00B60AB8"/>
    <w:rsid w:val="00B610A7"/>
    <w:rsid w:val="00B847D6"/>
    <w:rsid w:val="00B90EAD"/>
    <w:rsid w:val="00B9518F"/>
    <w:rsid w:val="00BA1FD1"/>
    <w:rsid w:val="00BA2AA4"/>
    <w:rsid w:val="00BB1A6E"/>
    <w:rsid w:val="00BD0169"/>
    <w:rsid w:val="00BF2A8E"/>
    <w:rsid w:val="00BF2D99"/>
    <w:rsid w:val="00BF3233"/>
    <w:rsid w:val="00C011B2"/>
    <w:rsid w:val="00C229C5"/>
    <w:rsid w:val="00C273FE"/>
    <w:rsid w:val="00C8308F"/>
    <w:rsid w:val="00CB21CD"/>
    <w:rsid w:val="00CB2CDE"/>
    <w:rsid w:val="00CD30C4"/>
    <w:rsid w:val="00CD4FF3"/>
    <w:rsid w:val="00CE1B7C"/>
    <w:rsid w:val="00CE23CE"/>
    <w:rsid w:val="00CE2E2A"/>
    <w:rsid w:val="00CF4666"/>
    <w:rsid w:val="00CF6E69"/>
    <w:rsid w:val="00D0591C"/>
    <w:rsid w:val="00D059AC"/>
    <w:rsid w:val="00D1422C"/>
    <w:rsid w:val="00D30030"/>
    <w:rsid w:val="00D31D40"/>
    <w:rsid w:val="00D53946"/>
    <w:rsid w:val="00D74759"/>
    <w:rsid w:val="00D85BAD"/>
    <w:rsid w:val="00D861D0"/>
    <w:rsid w:val="00DA6939"/>
    <w:rsid w:val="00DC18F6"/>
    <w:rsid w:val="00DC25FA"/>
    <w:rsid w:val="00DC4478"/>
    <w:rsid w:val="00DD2198"/>
    <w:rsid w:val="00DE3AEE"/>
    <w:rsid w:val="00DE6AD7"/>
    <w:rsid w:val="00DE71ED"/>
    <w:rsid w:val="00DF0561"/>
    <w:rsid w:val="00E01837"/>
    <w:rsid w:val="00E02887"/>
    <w:rsid w:val="00E03436"/>
    <w:rsid w:val="00E040B9"/>
    <w:rsid w:val="00E0519E"/>
    <w:rsid w:val="00E2790C"/>
    <w:rsid w:val="00E338E1"/>
    <w:rsid w:val="00E4335E"/>
    <w:rsid w:val="00E55674"/>
    <w:rsid w:val="00E57390"/>
    <w:rsid w:val="00E7254B"/>
    <w:rsid w:val="00E7474A"/>
    <w:rsid w:val="00E83A7C"/>
    <w:rsid w:val="00E84144"/>
    <w:rsid w:val="00E8516F"/>
    <w:rsid w:val="00E937CA"/>
    <w:rsid w:val="00E95EB0"/>
    <w:rsid w:val="00EA721E"/>
    <w:rsid w:val="00EC55A0"/>
    <w:rsid w:val="00ED29D0"/>
    <w:rsid w:val="00ED72FB"/>
    <w:rsid w:val="00EE13CA"/>
    <w:rsid w:val="00EF294E"/>
    <w:rsid w:val="00EF2C07"/>
    <w:rsid w:val="00F07360"/>
    <w:rsid w:val="00F25B72"/>
    <w:rsid w:val="00F25D5E"/>
    <w:rsid w:val="00F449D4"/>
    <w:rsid w:val="00F449DD"/>
    <w:rsid w:val="00F5326B"/>
    <w:rsid w:val="00F6089C"/>
    <w:rsid w:val="00F636BE"/>
    <w:rsid w:val="00F647AB"/>
    <w:rsid w:val="00F81468"/>
    <w:rsid w:val="00F83978"/>
    <w:rsid w:val="00FB201C"/>
    <w:rsid w:val="00FC7274"/>
    <w:rsid w:val="00FD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D1BA"/>
  <w15:docId w15:val="{94C0F025-C5D0-4363-8F6D-630F9636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76C"/>
    <w:pPr>
      <w:spacing w:before="0" w:after="200" w:line="276" w:lineRule="auto"/>
    </w:pPr>
    <w:rPr>
      <w:rFonts w:ascii="Calibri" w:eastAsia="Calibri" w:hAnsi="Calibri" w:cs="Times New Roman"/>
    </w:rPr>
  </w:style>
  <w:style w:type="paragraph" w:styleId="Heading7">
    <w:name w:val="heading 7"/>
    <w:basedOn w:val="Normal"/>
    <w:next w:val="Normal"/>
    <w:link w:val="Heading7Char"/>
    <w:uiPriority w:val="9"/>
    <w:unhideWhenUsed/>
    <w:qFormat/>
    <w:rsid w:val="00616CB2"/>
    <w:pPr>
      <w:keepNext/>
      <w:spacing w:before="60" w:after="0" w:line="240" w:lineRule="auto"/>
      <w:jc w:val="both"/>
      <w:outlineLvl w:val="6"/>
    </w:pPr>
    <w:rPr>
      <w:rFonts w:ascii="Arial" w:eastAsiaTheme="minorHAnsi" w:hAnsi="Arial" w:cstheme="minorBidi"/>
      <w:spacing w:val="-4"/>
      <w:sz w:val="18"/>
      <w:szCs w:val="1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44"/>
    <w:pPr>
      <w:spacing w:before="0" w:after="0"/>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text"/>
    <w:basedOn w:val="Normal"/>
    <w:link w:val="ListParagraphChar"/>
    <w:uiPriority w:val="2"/>
    <w:qFormat/>
    <w:rsid w:val="00860044"/>
    <w:pPr>
      <w:spacing w:after="0" w:line="240" w:lineRule="auto"/>
      <w:ind w:left="720"/>
      <w:contextualSpacing/>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413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3D7"/>
    <w:rPr>
      <w:rFonts w:ascii="Calibri" w:eastAsia="Calibri" w:hAnsi="Calibri" w:cs="Times New Roman"/>
    </w:rPr>
  </w:style>
  <w:style w:type="paragraph" w:styleId="Footer">
    <w:name w:val="footer"/>
    <w:basedOn w:val="Normal"/>
    <w:link w:val="FooterChar"/>
    <w:uiPriority w:val="99"/>
    <w:unhideWhenUsed/>
    <w:rsid w:val="00413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3D7"/>
    <w:rPr>
      <w:rFonts w:ascii="Calibri" w:eastAsia="Calibri" w:hAnsi="Calibri" w:cs="Times New Roman"/>
    </w:rPr>
  </w:style>
  <w:style w:type="paragraph" w:styleId="FootnoteText">
    <w:name w:val="footnote text"/>
    <w:basedOn w:val="Normal"/>
    <w:link w:val="FootnoteTextChar"/>
    <w:uiPriority w:val="99"/>
    <w:unhideWhenUsed/>
    <w:rsid w:val="003D2122"/>
    <w:rPr>
      <w:sz w:val="20"/>
      <w:szCs w:val="20"/>
    </w:rPr>
  </w:style>
  <w:style w:type="character" w:customStyle="1" w:styleId="FootnoteTextChar">
    <w:name w:val="Footnote Text Char"/>
    <w:basedOn w:val="DefaultParagraphFont"/>
    <w:link w:val="FootnoteText"/>
    <w:uiPriority w:val="99"/>
    <w:rsid w:val="003D2122"/>
    <w:rPr>
      <w:rFonts w:ascii="Calibri" w:eastAsia="Calibri" w:hAnsi="Calibri" w:cs="Times New Roman"/>
      <w:sz w:val="20"/>
      <w:szCs w:val="20"/>
    </w:rPr>
  </w:style>
  <w:style w:type="character" w:styleId="FootnoteReference">
    <w:name w:val="footnote reference"/>
    <w:basedOn w:val="DefaultParagraphFont"/>
    <w:uiPriority w:val="99"/>
    <w:unhideWhenUsed/>
    <w:rsid w:val="003D2122"/>
    <w:rPr>
      <w:vertAlign w:val="superscript"/>
    </w:rPr>
  </w:style>
  <w:style w:type="character" w:styleId="Hyperlink">
    <w:name w:val="Hyperlink"/>
    <w:basedOn w:val="DefaultParagraphFont"/>
    <w:uiPriority w:val="99"/>
    <w:unhideWhenUsed/>
    <w:rsid w:val="003D2122"/>
    <w:rPr>
      <w:rFonts w:ascii="Arial" w:hAnsi="Arial" w:cs="Arial" w:hint="default"/>
      <w:strike w:val="0"/>
      <w:dstrike w:val="0"/>
      <w:color w:val="1122CC"/>
      <w:u w:val="none"/>
      <w:effect w:val="none"/>
    </w:rPr>
  </w:style>
  <w:style w:type="paragraph" w:styleId="BalloonText">
    <w:name w:val="Balloon Text"/>
    <w:basedOn w:val="Normal"/>
    <w:link w:val="BalloonTextChar"/>
    <w:uiPriority w:val="99"/>
    <w:semiHidden/>
    <w:unhideWhenUsed/>
    <w:rsid w:val="003D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22"/>
    <w:rPr>
      <w:rFonts w:ascii="Tahoma" w:eastAsia="Calibri" w:hAnsi="Tahoma" w:cs="Tahoma"/>
      <w:sz w:val="16"/>
      <w:szCs w:val="16"/>
    </w:rPr>
  </w:style>
  <w:style w:type="table" w:customStyle="1" w:styleId="TableGrid1">
    <w:name w:val="Table Grid1"/>
    <w:basedOn w:val="TableNormal"/>
    <w:next w:val="TableGrid"/>
    <w:uiPriority w:val="59"/>
    <w:rsid w:val="007E376C"/>
    <w:pPr>
      <w:spacing w:before="0" w:after="0"/>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B21CD"/>
    <w:rPr>
      <w:sz w:val="16"/>
      <w:szCs w:val="16"/>
    </w:rPr>
  </w:style>
  <w:style w:type="paragraph" w:styleId="CommentText">
    <w:name w:val="annotation text"/>
    <w:basedOn w:val="Normal"/>
    <w:link w:val="CommentTextChar"/>
    <w:unhideWhenUsed/>
    <w:rsid w:val="00CB21CD"/>
    <w:pPr>
      <w:spacing w:line="240" w:lineRule="auto"/>
    </w:pPr>
    <w:rPr>
      <w:sz w:val="20"/>
      <w:szCs w:val="20"/>
    </w:rPr>
  </w:style>
  <w:style w:type="character" w:customStyle="1" w:styleId="CommentTextChar">
    <w:name w:val="Comment Text Char"/>
    <w:basedOn w:val="DefaultParagraphFont"/>
    <w:link w:val="CommentText"/>
    <w:rsid w:val="00CB21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21CD"/>
    <w:rPr>
      <w:b/>
      <w:bCs/>
    </w:rPr>
  </w:style>
  <w:style w:type="character" w:customStyle="1" w:styleId="CommentSubjectChar">
    <w:name w:val="Comment Subject Char"/>
    <w:basedOn w:val="CommentTextChar"/>
    <w:link w:val="CommentSubject"/>
    <w:uiPriority w:val="99"/>
    <w:semiHidden/>
    <w:rsid w:val="00CB21CD"/>
    <w:rPr>
      <w:rFonts w:ascii="Calibri" w:eastAsia="Calibri" w:hAnsi="Calibri" w:cs="Times New Roman"/>
      <w:b/>
      <w:bCs/>
      <w:sz w:val="20"/>
      <w:szCs w:val="20"/>
    </w:rPr>
  </w:style>
  <w:style w:type="character" w:customStyle="1" w:styleId="ListParagraphChar">
    <w:name w:val="List Paragraph Char"/>
    <w:aliases w:val="Table text Char"/>
    <w:basedOn w:val="DefaultParagraphFont"/>
    <w:link w:val="ListParagraph"/>
    <w:uiPriority w:val="2"/>
    <w:rsid w:val="00D30030"/>
    <w:rPr>
      <w:rFonts w:ascii="Times New Roman" w:eastAsia="Times New Roman" w:hAnsi="Times New Roman" w:cs="Times New Roman"/>
      <w:sz w:val="24"/>
      <w:szCs w:val="24"/>
      <w:lang w:val="en-GB" w:eastAsia="en-GB"/>
    </w:rPr>
  </w:style>
  <w:style w:type="paragraph" w:customStyle="1" w:styleId="Textbullet">
    <w:name w:val="Text bullet"/>
    <w:basedOn w:val="Normal"/>
    <w:qFormat/>
    <w:rsid w:val="00406BE5"/>
    <w:pPr>
      <w:numPr>
        <w:numId w:val="1"/>
      </w:numPr>
      <w:spacing w:after="0" w:line="240" w:lineRule="auto"/>
      <w:jc w:val="both"/>
    </w:pPr>
    <w:rPr>
      <w:rFonts w:ascii="Arial" w:eastAsia="Times New Roman" w:hAnsi="Arial" w:cs="Arial"/>
      <w:noProof/>
      <w:color w:val="000000"/>
      <w:sz w:val="18"/>
      <w:szCs w:val="18"/>
    </w:rPr>
  </w:style>
  <w:style w:type="character" w:styleId="EndnoteReference">
    <w:name w:val="endnote reference"/>
    <w:rsid w:val="00463074"/>
    <w:rPr>
      <w:vertAlign w:val="superscript"/>
    </w:rPr>
  </w:style>
  <w:style w:type="paragraph" w:styleId="Revision">
    <w:name w:val="Revision"/>
    <w:hidden/>
    <w:uiPriority w:val="99"/>
    <w:semiHidden/>
    <w:rsid w:val="00821BC6"/>
    <w:pPr>
      <w:spacing w:before="0" w:after="0"/>
    </w:pPr>
    <w:rPr>
      <w:rFonts w:ascii="Calibri" w:eastAsia="Calibri" w:hAnsi="Calibri" w:cs="Times New Roman"/>
    </w:rPr>
  </w:style>
  <w:style w:type="table" w:customStyle="1" w:styleId="TableGrid41">
    <w:name w:val="Table Grid41"/>
    <w:basedOn w:val="TableNormal"/>
    <w:next w:val="TableGrid"/>
    <w:uiPriority w:val="59"/>
    <w:rsid w:val="00375A5A"/>
    <w:pPr>
      <w:spacing w:before="0" w:after="0"/>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cinebullet1">
    <w:name w:val="Medicine bullet 1"/>
    <w:qFormat/>
    <w:rsid w:val="00DF0561"/>
    <w:pPr>
      <w:spacing w:before="0" w:after="0"/>
    </w:pPr>
    <w:rPr>
      <w:rFonts w:ascii="Arial" w:eastAsia="Times New Roman" w:hAnsi="Arial" w:cs="Times New Roman"/>
      <w:noProof/>
      <w:sz w:val="18"/>
      <w:szCs w:val="18"/>
    </w:rPr>
  </w:style>
  <w:style w:type="character" w:customStyle="1" w:styleId="Heading7Char">
    <w:name w:val="Heading 7 Char"/>
    <w:basedOn w:val="DefaultParagraphFont"/>
    <w:link w:val="Heading7"/>
    <w:uiPriority w:val="9"/>
    <w:rsid w:val="00616CB2"/>
    <w:rPr>
      <w:rFonts w:ascii="Arial" w:hAnsi="Arial"/>
      <w:spacing w:val="-4"/>
      <w:sz w:val="18"/>
      <w:szCs w:val="18"/>
      <w:u w:val="single"/>
      <w:lang w:val="en-GB"/>
    </w:rPr>
  </w:style>
  <w:style w:type="paragraph" w:customStyle="1" w:styleId="BulletMedicine">
    <w:name w:val="Bullet Medicine"/>
    <w:basedOn w:val="Normal"/>
    <w:next w:val="Normal"/>
    <w:uiPriority w:val="5"/>
    <w:qFormat/>
    <w:rsid w:val="00616CB2"/>
    <w:pPr>
      <w:numPr>
        <w:numId w:val="8"/>
      </w:numPr>
      <w:spacing w:after="0" w:line="240" w:lineRule="auto"/>
    </w:pPr>
    <w:rPr>
      <w:rFonts w:ascii="Arial" w:eastAsiaTheme="minorHAnsi" w:hAnsi="Arial" w:cstheme="minorBidi"/>
      <w:spacing w:val="-4"/>
      <w:sz w:val="18"/>
      <w:szCs w:val="18"/>
    </w:rPr>
  </w:style>
  <w:style w:type="character" w:customStyle="1" w:styleId="cf01">
    <w:name w:val="cf01"/>
    <w:basedOn w:val="DefaultParagraphFont"/>
    <w:rsid w:val="00C8308F"/>
    <w:rPr>
      <w:rFonts w:ascii="Segoe UI" w:hAnsi="Segoe UI" w:cs="Segoe UI" w:hint="default"/>
      <w:sz w:val="18"/>
      <w:szCs w:val="18"/>
      <w:u w:val="single"/>
    </w:rPr>
  </w:style>
  <w:style w:type="character" w:customStyle="1" w:styleId="cf11">
    <w:name w:val="cf11"/>
    <w:basedOn w:val="DefaultParagraphFont"/>
    <w:rsid w:val="00C8308F"/>
    <w:rPr>
      <w:rFonts w:ascii="Segoe UI" w:hAnsi="Segoe UI" w:cs="Segoe UI" w:hint="default"/>
      <w:sz w:val="18"/>
      <w:szCs w:val="18"/>
      <w:u w:val="single"/>
      <w:shd w:val="clear" w:color="auto" w:fill="FFFF00"/>
    </w:rPr>
  </w:style>
  <w:style w:type="paragraph" w:styleId="EndnoteText">
    <w:name w:val="endnote text"/>
    <w:basedOn w:val="Normal"/>
    <w:link w:val="EndnoteTextChar"/>
    <w:rsid w:val="00F5326B"/>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F5326B"/>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09815">
      <w:bodyDiv w:val="1"/>
      <w:marLeft w:val="0"/>
      <w:marRight w:val="0"/>
      <w:marTop w:val="0"/>
      <w:marBottom w:val="0"/>
      <w:divBdr>
        <w:top w:val="none" w:sz="0" w:space="0" w:color="auto"/>
        <w:left w:val="none" w:sz="0" w:space="0" w:color="auto"/>
        <w:bottom w:val="none" w:sz="0" w:space="0" w:color="auto"/>
        <w:right w:val="none" w:sz="0" w:space="0" w:color="auto"/>
      </w:divBdr>
    </w:div>
    <w:div w:id="1092437316">
      <w:bodyDiv w:val="1"/>
      <w:marLeft w:val="0"/>
      <w:marRight w:val="0"/>
      <w:marTop w:val="0"/>
      <w:marBottom w:val="0"/>
      <w:divBdr>
        <w:top w:val="none" w:sz="0" w:space="0" w:color="auto"/>
        <w:left w:val="none" w:sz="0" w:space="0" w:color="auto"/>
        <w:bottom w:val="none" w:sz="0" w:space="0" w:color="auto"/>
        <w:right w:val="none" w:sz="0" w:space="0" w:color="auto"/>
      </w:divBdr>
      <w:divsChild>
        <w:div w:id="713652001">
          <w:marLeft w:val="0"/>
          <w:marRight w:val="0"/>
          <w:marTop w:val="0"/>
          <w:marBottom w:val="0"/>
          <w:divBdr>
            <w:top w:val="none" w:sz="0" w:space="0" w:color="auto"/>
            <w:left w:val="none" w:sz="0" w:space="0" w:color="auto"/>
            <w:bottom w:val="none" w:sz="0" w:space="0" w:color="auto"/>
            <w:right w:val="none" w:sz="0" w:space="0" w:color="auto"/>
          </w:divBdr>
        </w:div>
        <w:div w:id="1756898701">
          <w:marLeft w:val="0"/>
          <w:marRight w:val="0"/>
          <w:marTop w:val="0"/>
          <w:marBottom w:val="0"/>
          <w:divBdr>
            <w:top w:val="none" w:sz="0" w:space="0" w:color="auto"/>
            <w:left w:val="none" w:sz="0" w:space="0" w:color="auto"/>
            <w:bottom w:val="none" w:sz="0" w:space="0" w:color="auto"/>
            <w:right w:val="none" w:sz="0" w:space="0" w:color="auto"/>
          </w:divBdr>
        </w:div>
        <w:div w:id="625887485">
          <w:marLeft w:val="0"/>
          <w:marRight w:val="0"/>
          <w:marTop w:val="0"/>
          <w:marBottom w:val="0"/>
          <w:divBdr>
            <w:top w:val="none" w:sz="0" w:space="0" w:color="auto"/>
            <w:left w:val="none" w:sz="0" w:space="0" w:color="auto"/>
            <w:bottom w:val="none" w:sz="0" w:space="0" w:color="auto"/>
            <w:right w:val="none" w:sz="0" w:space="0" w:color="auto"/>
          </w:divBdr>
        </w:div>
        <w:div w:id="883902991">
          <w:marLeft w:val="0"/>
          <w:marRight w:val="0"/>
          <w:marTop w:val="0"/>
          <w:marBottom w:val="0"/>
          <w:divBdr>
            <w:top w:val="none" w:sz="0" w:space="0" w:color="auto"/>
            <w:left w:val="none" w:sz="0" w:space="0" w:color="auto"/>
            <w:bottom w:val="none" w:sz="0" w:space="0" w:color="auto"/>
            <w:right w:val="none" w:sz="0" w:space="0" w:color="auto"/>
          </w:divBdr>
        </w:div>
        <w:div w:id="1279333082">
          <w:marLeft w:val="0"/>
          <w:marRight w:val="0"/>
          <w:marTop w:val="0"/>
          <w:marBottom w:val="0"/>
          <w:divBdr>
            <w:top w:val="none" w:sz="0" w:space="0" w:color="auto"/>
            <w:left w:val="none" w:sz="0" w:space="0" w:color="auto"/>
            <w:bottom w:val="none" w:sz="0" w:space="0" w:color="auto"/>
            <w:right w:val="none" w:sz="0" w:space="0" w:color="auto"/>
          </w:divBdr>
        </w:div>
        <w:div w:id="1308048673">
          <w:marLeft w:val="0"/>
          <w:marRight w:val="0"/>
          <w:marTop w:val="0"/>
          <w:marBottom w:val="0"/>
          <w:divBdr>
            <w:top w:val="none" w:sz="0" w:space="0" w:color="auto"/>
            <w:left w:val="none" w:sz="0" w:space="0" w:color="auto"/>
            <w:bottom w:val="none" w:sz="0" w:space="0" w:color="auto"/>
            <w:right w:val="none" w:sz="0" w:space="0" w:color="auto"/>
          </w:divBdr>
        </w:div>
      </w:divsChild>
    </w:div>
    <w:div w:id="1256981457">
      <w:bodyDiv w:val="1"/>
      <w:marLeft w:val="0"/>
      <w:marRight w:val="0"/>
      <w:marTop w:val="0"/>
      <w:marBottom w:val="0"/>
      <w:divBdr>
        <w:top w:val="none" w:sz="0" w:space="0" w:color="auto"/>
        <w:left w:val="none" w:sz="0" w:space="0" w:color="auto"/>
        <w:bottom w:val="none" w:sz="0" w:space="0" w:color="auto"/>
        <w:right w:val="none" w:sz="0" w:space="0" w:color="auto"/>
      </w:divBdr>
    </w:div>
    <w:div w:id="1812361127">
      <w:bodyDiv w:val="1"/>
      <w:marLeft w:val="0"/>
      <w:marRight w:val="0"/>
      <w:marTop w:val="0"/>
      <w:marBottom w:val="0"/>
      <w:divBdr>
        <w:top w:val="none" w:sz="0" w:space="0" w:color="auto"/>
        <w:left w:val="none" w:sz="0" w:space="0" w:color="auto"/>
        <w:bottom w:val="none" w:sz="0" w:space="0" w:color="auto"/>
        <w:right w:val="none" w:sz="0" w:space="0" w:color="auto"/>
      </w:divBdr>
    </w:div>
    <w:div w:id="18377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mstrweb.nicd.ac.za/MicroStrategy/asp/Main.aspx?Server=NICDSANDMSTRI01&amp;Project=Surveillance&amp;Port=0&amp;evt=2048001&amp;src=Main.aspx.2048001&amp;documentID=E654D30643F2E930CCF5A192C0E4512C&amp;currentViewMedia=1&amp;visMode=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1048-2606-4873-9780-696FDBE4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Leong</dc:creator>
  <cp:lastModifiedBy>Trudy Leong</cp:lastModifiedBy>
  <cp:revision>4</cp:revision>
  <dcterms:created xsi:type="dcterms:W3CDTF">2022-10-20T08:35:00Z</dcterms:created>
  <dcterms:modified xsi:type="dcterms:W3CDTF">2022-10-24T18:20:00Z</dcterms:modified>
</cp:coreProperties>
</file>