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81ED9" w14:textId="546B6A57" w:rsidR="006D4FB6" w:rsidRPr="00802C75" w:rsidRDefault="00895B99" w:rsidP="00234210">
      <w:pPr>
        <w:pStyle w:val="ChapterHeader"/>
        <w:pBdr>
          <w:bottom w:val="single" w:sz="18" w:space="1" w:color="auto"/>
        </w:pBdr>
        <w:spacing w:line="276" w:lineRule="auto"/>
        <w:rPr>
          <w:lang w:val="en-GB"/>
        </w:rPr>
      </w:pPr>
      <w:r>
        <w:rPr>
          <w:lang w:val="en-GB"/>
        </w:rPr>
        <w:softHyphen/>
      </w:r>
      <w:r>
        <w:rPr>
          <w:lang w:val="en-GB"/>
        </w:rPr>
        <w:softHyphen/>
      </w:r>
      <w:r w:rsidR="006D4FB6" w:rsidRPr="00802C75">
        <w:rPr>
          <w:lang w:val="en-GB"/>
        </w:rPr>
        <w:t>CHAPTER 9</w:t>
      </w:r>
    </w:p>
    <w:p w14:paraId="4DF45B00" w14:textId="77777777" w:rsidR="006D4FB6" w:rsidRPr="00802C75" w:rsidRDefault="006D4FB6" w:rsidP="00234210">
      <w:pPr>
        <w:pStyle w:val="ChapterHeader"/>
        <w:pBdr>
          <w:bottom w:val="single" w:sz="18" w:space="1" w:color="auto"/>
        </w:pBdr>
        <w:spacing w:line="276" w:lineRule="auto"/>
        <w:rPr>
          <w:lang w:val="en-GB"/>
        </w:rPr>
      </w:pPr>
      <w:r w:rsidRPr="00802C75">
        <w:rPr>
          <w:lang w:val="en-GB"/>
        </w:rPr>
        <w:t xml:space="preserve">SYSTEMIC AND </w:t>
      </w:r>
      <w:r w:rsidR="00A91E9D" w:rsidRPr="00802C75">
        <w:rPr>
          <w:lang w:val="en-GB"/>
        </w:rPr>
        <w:t xml:space="preserve">HEALTHCARE-ASSOCIATED INFECTIONS </w:t>
      </w:r>
    </w:p>
    <w:p w14:paraId="3253E5B1" w14:textId="7CB0F7E3" w:rsidR="004A56B2" w:rsidRDefault="004A56B2" w:rsidP="00CB17F7">
      <w:pPr>
        <w:rPr>
          <w:sz w:val="10"/>
          <w:lang w:val="en-GB"/>
        </w:rPr>
      </w:pPr>
    </w:p>
    <w:p w14:paraId="579F9735" w14:textId="77777777" w:rsidR="006D4FB6" w:rsidRPr="00802C75" w:rsidRDefault="007C5712" w:rsidP="007C5712">
      <w:pPr>
        <w:pStyle w:val="Heading2"/>
        <w:rPr>
          <w:sz w:val="22"/>
          <w:szCs w:val="22"/>
          <w:lang w:val="en-GB"/>
        </w:rPr>
      </w:pPr>
      <w:r w:rsidRPr="00802C75">
        <w:rPr>
          <w:sz w:val="22"/>
          <w:szCs w:val="22"/>
          <w:lang w:val="en-GB"/>
        </w:rPr>
        <w:t>ANTIMICROBIAL STEWARDSHIP</w:t>
      </w:r>
    </w:p>
    <w:p w14:paraId="2078B947" w14:textId="51B444C2" w:rsidR="0056723A" w:rsidRDefault="00767B35" w:rsidP="0056723A">
      <w:pPr>
        <w:tabs>
          <w:tab w:val="clear" w:pos="2694"/>
          <w:tab w:val="clear" w:pos="2977"/>
        </w:tabs>
        <w:rPr>
          <w:b/>
          <w:color w:val="FF0000"/>
          <w:u w:val="single"/>
          <w:lang w:val="en-GB" w:eastAsia="ja-JP"/>
        </w:rPr>
      </w:pPr>
      <w:r w:rsidRPr="00802C75">
        <w:rPr>
          <w:color w:val="auto"/>
          <w:lang w:val="en-GB" w:eastAsia="ja-JP"/>
        </w:rPr>
        <w:t>Anti</w:t>
      </w:r>
      <w:r>
        <w:rPr>
          <w:color w:val="auto"/>
          <w:lang w:val="en-GB" w:eastAsia="ja-JP"/>
        </w:rPr>
        <w:t>microbial</w:t>
      </w:r>
      <w:r w:rsidR="00162988">
        <w:rPr>
          <w:color w:val="auto"/>
          <w:lang w:val="en-GB" w:eastAsia="ja-JP"/>
        </w:rPr>
        <w:t xml:space="preserve"> </w:t>
      </w:r>
      <w:r w:rsidR="0056723A" w:rsidRPr="00802C75">
        <w:rPr>
          <w:color w:val="auto"/>
          <w:lang w:val="en-GB" w:eastAsia="ja-JP"/>
        </w:rPr>
        <w:t>stewardship refers to a systematic approach to optimising the appropriate use of an antibiotic to improve patient outcome</w:t>
      </w:r>
      <w:r w:rsidR="003D6F14">
        <w:rPr>
          <w:color w:val="auto"/>
          <w:lang w:val="en-GB" w:eastAsia="ja-JP"/>
        </w:rPr>
        <w:t>(s)</w:t>
      </w:r>
      <w:r w:rsidR="0056723A" w:rsidRPr="00802C75">
        <w:rPr>
          <w:color w:val="auto"/>
          <w:lang w:val="en-GB" w:eastAsia="ja-JP"/>
        </w:rPr>
        <w:t xml:space="preserve"> and limit emergence of resistant pathogens, whilst ensuring patient safety. It is one arm of the national and international response to the increasing public health crisis of antibiotic resistance</w:t>
      </w:r>
      <w:r w:rsidR="00176511" w:rsidRPr="00802C75">
        <w:rPr>
          <w:color w:val="auto"/>
          <w:lang w:val="en-GB" w:eastAsia="ja-JP"/>
        </w:rPr>
        <w:t>.</w:t>
      </w:r>
      <w:r w:rsidR="00162988">
        <w:rPr>
          <w:color w:val="auto"/>
          <w:lang w:val="en-GB" w:eastAsia="ja-JP"/>
        </w:rPr>
        <w:t xml:space="preserve"> </w:t>
      </w:r>
      <w:r w:rsidR="007776CF" w:rsidRPr="00C92B04">
        <w:rPr>
          <w:color w:val="auto"/>
          <w:lang w:val="en-GB" w:eastAsia="ja-JP"/>
        </w:rPr>
        <w:t>A critical component is adequate infection control</w:t>
      </w:r>
      <w:r w:rsidR="007776CF">
        <w:rPr>
          <w:color w:val="auto"/>
          <w:lang w:val="en-GB" w:eastAsia="ja-JP"/>
        </w:rPr>
        <w:t xml:space="preserve">. </w:t>
      </w:r>
      <w:r w:rsidR="0056723A" w:rsidRPr="00802C75">
        <w:rPr>
          <w:color w:val="auto"/>
          <w:lang w:val="en-GB" w:eastAsia="ja-JP"/>
        </w:rPr>
        <w:t xml:space="preserve">Antibiotics </w:t>
      </w:r>
      <w:r w:rsidR="007776CF">
        <w:rPr>
          <w:color w:val="auto"/>
          <w:lang w:val="en-GB" w:eastAsia="ja-JP"/>
        </w:rPr>
        <w:t>should</w:t>
      </w:r>
      <w:r w:rsidR="007776CF" w:rsidRPr="00802C75">
        <w:rPr>
          <w:color w:val="auto"/>
          <w:lang w:val="en-GB" w:eastAsia="ja-JP"/>
        </w:rPr>
        <w:t xml:space="preserve"> </w:t>
      </w:r>
      <w:r w:rsidR="0056723A" w:rsidRPr="00802C75">
        <w:rPr>
          <w:color w:val="auto"/>
          <w:lang w:val="en-GB" w:eastAsia="ja-JP"/>
        </w:rPr>
        <w:t xml:space="preserve">only </w:t>
      </w:r>
      <w:r w:rsidR="00902E5C">
        <w:rPr>
          <w:color w:val="auto"/>
          <w:lang w:val="en-GB" w:eastAsia="ja-JP"/>
        </w:rPr>
        <w:t xml:space="preserve">be </w:t>
      </w:r>
      <w:r w:rsidR="0056723A" w:rsidRPr="00802C75">
        <w:rPr>
          <w:color w:val="auto"/>
          <w:lang w:val="en-GB" w:eastAsia="ja-JP"/>
        </w:rPr>
        <w:t xml:space="preserve">used for </w:t>
      </w:r>
      <w:r w:rsidR="00F26E55">
        <w:rPr>
          <w:color w:val="auto"/>
          <w:lang w:val="en-GB" w:eastAsia="ja-JP"/>
        </w:rPr>
        <w:t xml:space="preserve">the treatment and prevention of </w:t>
      </w:r>
      <w:r w:rsidR="0056723A" w:rsidRPr="00802C75">
        <w:rPr>
          <w:color w:val="auto"/>
          <w:lang w:val="en-GB" w:eastAsia="ja-JP"/>
        </w:rPr>
        <w:t>bacterial infection</w:t>
      </w:r>
      <w:r w:rsidR="00CB690F">
        <w:rPr>
          <w:color w:val="auto"/>
          <w:lang w:val="en-GB" w:eastAsia="ja-JP"/>
        </w:rPr>
        <w:t>s. T</w:t>
      </w:r>
      <w:r w:rsidR="0056723A" w:rsidRPr="00802C75">
        <w:rPr>
          <w:color w:val="auto"/>
          <w:lang w:val="en-GB" w:eastAsia="ja-JP"/>
        </w:rPr>
        <w:t>he following checklist will help optimize prescribing:</w:t>
      </w:r>
      <w:r w:rsidR="00162988">
        <w:rPr>
          <w:color w:val="auto"/>
          <w:lang w:val="en-GB" w:eastAsia="ja-JP"/>
        </w:rPr>
        <w:t xml:space="preserve"> </w:t>
      </w:r>
    </w:p>
    <w:p w14:paraId="52689748" w14:textId="77777777" w:rsidR="00AC5E41" w:rsidRPr="00AC5E41" w:rsidRDefault="00AC5E41" w:rsidP="0056723A">
      <w:pPr>
        <w:tabs>
          <w:tab w:val="clear" w:pos="2694"/>
          <w:tab w:val="clear" w:pos="2977"/>
        </w:tabs>
        <w:rPr>
          <w:color w:val="auto"/>
          <w:sz w:val="10"/>
          <w:lang w:val="en-GB"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4"/>
      </w:tblGrid>
      <w:tr w:rsidR="0056723A" w:rsidRPr="00234210" w14:paraId="0C636DFB" w14:textId="77777777" w:rsidTr="000809E0">
        <w:tc>
          <w:tcPr>
            <w:tcW w:w="8516" w:type="dxa"/>
          </w:tcPr>
          <w:p w14:paraId="118091BB" w14:textId="77777777" w:rsidR="0056723A" w:rsidRPr="00234210" w:rsidRDefault="0056723A" w:rsidP="000809E0">
            <w:pPr>
              <w:tabs>
                <w:tab w:val="clear" w:pos="2694"/>
                <w:tab w:val="clear" w:pos="2977"/>
              </w:tabs>
              <w:jc w:val="center"/>
              <w:rPr>
                <w:b/>
                <w:color w:val="auto"/>
                <w:sz w:val="17"/>
                <w:szCs w:val="17"/>
                <w:lang w:val="en-GB" w:eastAsia="ja-JP"/>
              </w:rPr>
            </w:pPr>
            <w:r w:rsidRPr="00234210">
              <w:rPr>
                <w:b/>
                <w:color w:val="auto"/>
                <w:sz w:val="17"/>
                <w:szCs w:val="17"/>
                <w:lang w:val="en-GB" w:eastAsia="ja-JP"/>
              </w:rPr>
              <w:t>Checklist for optimal antibiotic prescribing</w:t>
            </w:r>
          </w:p>
        </w:tc>
      </w:tr>
      <w:tr w:rsidR="0056723A" w:rsidRPr="00234210" w14:paraId="699A4145" w14:textId="77777777" w:rsidTr="000809E0">
        <w:tc>
          <w:tcPr>
            <w:tcW w:w="8516" w:type="dxa"/>
          </w:tcPr>
          <w:p w14:paraId="5D7EEEC1" w14:textId="77777777" w:rsidR="00950521" w:rsidRPr="00234210" w:rsidRDefault="0056723A" w:rsidP="003118D8">
            <w:pPr>
              <w:numPr>
                <w:ilvl w:val="0"/>
                <w:numId w:val="11"/>
              </w:numPr>
              <w:tabs>
                <w:tab w:val="clear" w:pos="2694"/>
                <w:tab w:val="clear" w:pos="2977"/>
              </w:tabs>
              <w:contextualSpacing/>
              <w:rPr>
                <w:rFonts w:eastAsia="MS Mincho"/>
                <w:color w:val="auto"/>
                <w:sz w:val="17"/>
                <w:szCs w:val="17"/>
                <w:lang w:val="en-GB" w:eastAsia="ja-JP"/>
              </w:rPr>
            </w:pPr>
            <w:r w:rsidRPr="00234210">
              <w:rPr>
                <w:rFonts w:eastAsia="MS Mincho"/>
                <w:b/>
                <w:color w:val="auto"/>
                <w:sz w:val="17"/>
                <w:szCs w:val="17"/>
                <w:lang w:val="en-GB" w:eastAsia="ja-JP"/>
              </w:rPr>
              <w:t>Medicine</w:t>
            </w:r>
            <w:r w:rsidRPr="00234210">
              <w:rPr>
                <w:rFonts w:eastAsia="MS Mincho"/>
                <w:color w:val="auto"/>
                <w:sz w:val="17"/>
                <w:szCs w:val="17"/>
                <w:lang w:val="en-GB" w:eastAsia="ja-JP"/>
              </w:rPr>
              <w:t xml:space="preserve"> – which is the narrowest-spectrum antibiotic that I can use to treat this bacterial infection? </w:t>
            </w:r>
          </w:p>
        </w:tc>
      </w:tr>
      <w:tr w:rsidR="0056723A" w:rsidRPr="00234210" w14:paraId="32C421B1" w14:textId="77777777" w:rsidTr="000809E0">
        <w:tc>
          <w:tcPr>
            <w:tcW w:w="8516" w:type="dxa"/>
          </w:tcPr>
          <w:p w14:paraId="5DC6E821" w14:textId="77777777" w:rsidR="00950521" w:rsidRPr="00234210" w:rsidRDefault="0056723A" w:rsidP="003118D8">
            <w:pPr>
              <w:numPr>
                <w:ilvl w:val="0"/>
                <w:numId w:val="11"/>
              </w:numPr>
              <w:tabs>
                <w:tab w:val="clear" w:pos="2694"/>
                <w:tab w:val="clear" w:pos="2977"/>
              </w:tabs>
              <w:contextualSpacing/>
              <w:rPr>
                <w:rFonts w:eastAsia="MS Mincho"/>
                <w:color w:val="auto"/>
                <w:sz w:val="17"/>
                <w:szCs w:val="17"/>
                <w:lang w:val="en-GB" w:eastAsia="ja-JP"/>
              </w:rPr>
            </w:pPr>
            <w:r w:rsidRPr="00234210">
              <w:rPr>
                <w:rFonts w:eastAsia="MS Mincho"/>
                <w:b/>
                <w:color w:val="auto"/>
                <w:sz w:val="17"/>
                <w:szCs w:val="17"/>
                <w:lang w:val="en-GB" w:eastAsia="ja-JP"/>
              </w:rPr>
              <w:t>Dose</w:t>
            </w:r>
            <w:r w:rsidRPr="00234210">
              <w:rPr>
                <w:rFonts w:eastAsia="MS Mincho"/>
                <w:color w:val="auto"/>
                <w:sz w:val="17"/>
                <w:szCs w:val="17"/>
                <w:lang w:val="en-GB" w:eastAsia="ja-JP"/>
              </w:rPr>
              <w:t xml:space="preserve"> – many antibiotics require weight-based </w:t>
            </w:r>
            <w:proofErr w:type="gramStart"/>
            <w:r w:rsidRPr="00234210">
              <w:rPr>
                <w:rFonts w:eastAsia="MS Mincho"/>
                <w:color w:val="auto"/>
                <w:sz w:val="17"/>
                <w:szCs w:val="17"/>
                <w:lang w:val="en-GB" w:eastAsia="ja-JP"/>
              </w:rPr>
              <w:t>dosing</w:t>
            </w:r>
            <w:proofErr w:type="gramEnd"/>
            <w:r w:rsidRPr="00234210">
              <w:rPr>
                <w:rFonts w:eastAsia="MS Mincho"/>
                <w:color w:val="auto"/>
                <w:sz w:val="17"/>
                <w:szCs w:val="17"/>
                <w:lang w:val="en-GB" w:eastAsia="ja-JP"/>
              </w:rPr>
              <w:t xml:space="preserve"> and their dosing depends on renal and/or hepatic function</w:t>
            </w:r>
          </w:p>
        </w:tc>
      </w:tr>
      <w:tr w:rsidR="0056723A" w:rsidRPr="00234210" w14:paraId="147A281A" w14:textId="77777777" w:rsidTr="000809E0">
        <w:tc>
          <w:tcPr>
            <w:tcW w:w="8516" w:type="dxa"/>
          </w:tcPr>
          <w:p w14:paraId="294D45C4" w14:textId="75F7E1B6" w:rsidR="00950521" w:rsidRPr="00234210" w:rsidRDefault="0056723A" w:rsidP="003118D8">
            <w:pPr>
              <w:numPr>
                <w:ilvl w:val="0"/>
                <w:numId w:val="11"/>
              </w:numPr>
              <w:tabs>
                <w:tab w:val="clear" w:pos="2694"/>
                <w:tab w:val="clear" w:pos="2977"/>
              </w:tabs>
              <w:contextualSpacing/>
              <w:rPr>
                <w:rFonts w:eastAsia="MS Mincho"/>
                <w:color w:val="auto"/>
                <w:sz w:val="17"/>
                <w:szCs w:val="17"/>
                <w:lang w:val="en-GB" w:eastAsia="ja-JP"/>
              </w:rPr>
            </w:pPr>
            <w:r w:rsidRPr="00234210">
              <w:rPr>
                <w:rFonts w:eastAsia="MS Mincho"/>
                <w:b/>
                <w:color w:val="auto"/>
                <w:sz w:val="17"/>
                <w:szCs w:val="17"/>
                <w:lang w:val="en-GB" w:eastAsia="ja-JP"/>
              </w:rPr>
              <w:t>Dose frequency</w:t>
            </w:r>
            <w:r w:rsidRPr="00234210">
              <w:rPr>
                <w:rFonts w:eastAsia="MS Mincho"/>
                <w:color w:val="auto"/>
                <w:sz w:val="17"/>
                <w:szCs w:val="17"/>
                <w:lang w:val="en-GB" w:eastAsia="ja-JP"/>
              </w:rPr>
              <w:t xml:space="preserve"> – dependent on the half-life of the drug and whether the action of the antibiotic depends on the time above the MIC</w:t>
            </w:r>
            <w:r w:rsidR="00895B99">
              <w:rPr>
                <w:rFonts w:eastAsia="MS Mincho"/>
                <w:color w:val="auto"/>
                <w:sz w:val="17"/>
                <w:szCs w:val="17"/>
                <w:lang w:val="en-GB" w:eastAsia="ja-JP"/>
              </w:rPr>
              <w:t>, the peak concentration relative to MIC,</w:t>
            </w:r>
            <w:r w:rsidRPr="00234210">
              <w:rPr>
                <w:rFonts w:eastAsia="MS Mincho"/>
                <w:color w:val="auto"/>
                <w:sz w:val="17"/>
                <w:szCs w:val="17"/>
                <w:lang w:val="en-GB" w:eastAsia="ja-JP"/>
              </w:rPr>
              <w:t xml:space="preserve"> or the area under the concentration/time curve. Guidance for dosing frequency may require therapeutic drug monitoring, </w:t>
            </w:r>
            <w:r w:rsidR="00C22ADA">
              <w:rPr>
                <w:rFonts w:eastAsia="MS Mincho"/>
                <w:color w:val="auto"/>
                <w:sz w:val="17"/>
                <w:szCs w:val="17"/>
                <w:lang w:val="en-GB" w:eastAsia="ja-JP"/>
              </w:rPr>
              <w:t>e.g.</w:t>
            </w:r>
            <w:r w:rsidRPr="00234210">
              <w:rPr>
                <w:rFonts w:eastAsia="MS Mincho"/>
                <w:color w:val="auto"/>
                <w:sz w:val="17"/>
                <w:szCs w:val="17"/>
                <w:lang w:val="en-GB" w:eastAsia="ja-JP"/>
              </w:rPr>
              <w:t xml:space="preserve"> vancomycin </w:t>
            </w:r>
            <w:r w:rsidR="00C22ADA">
              <w:rPr>
                <w:rFonts w:eastAsia="MS Mincho"/>
                <w:color w:val="auto"/>
                <w:sz w:val="17"/>
                <w:szCs w:val="17"/>
                <w:lang w:val="en-GB" w:eastAsia="ja-JP"/>
              </w:rPr>
              <w:t>and</w:t>
            </w:r>
            <w:r w:rsidR="00C22ADA" w:rsidRPr="00234210">
              <w:rPr>
                <w:rFonts w:eastAsia="MS Mincho"/>
                <w:color w:val="auto"/>
                <w:sz w:val="17"/>
                <w:szCs w:val="17"/>
                <w:lang w:val="en-GB" w:eastAsia="ja-JP"/>
              </w:rPr>
              <w:t xml:space="preserve"> </w:t>
            </w:r>
            <w:r w:rsidRPr="00234210">
              <w:rPr>
                <w:rFonts w:eastAsia="MS Mincho"/>
                <w:color w:val="auto"/>
                <w:sz w:val="17"/>
                <w:szCs w:val="17"/>
                <w:lang w:val="en-GB" w:eastAsia="ja-JP"/>
              </w:rPr>
              <w:t>aminoglycosides.</w:t>
            </w:r>
          </w:p>
        </w:tc>
      </w:tr>
      <w:tr w:rsidR="0056723A" w:rsidRPr="00234210" w14:paraId="051E6E0B" w14:textId="77777777" w:rsidTr="000809E0">
        <w:tc>
          <w:tcPr>
            <w:tcW w:w="8516" w:type="dxa"/>
          </w:tcPr>
          <w:p w14:paraId="2D613441" w14:textId="77777777" w:rsidR="00950521" w:rsidRPr="00234210" w:rsidRDefault="0056723A" w:rsidP="003118D8">
            <w:pPr>
              <w:numPr>
                <w:ilvl w:val="0"/>
                <w:numId w:val="11"/>
              </w:numPr>
              <w:tabs>
                <w:tab w:val="clear" w:pos="2694"/>
                <w:tab w:val="clear" w:pos="2977"/>
              </w:tabs>
              <w:contextualSpacing/>
              <w:rPr>
                <w:rFonts w:eastAsia="MS Mincho"/>
                <w:color w:val="auto"/>
                <w:sz w:val="17"/>
                <w:szCs w:val="17"/>
                <w:lang w:val="en-GB" w:eastAsia="ja-JP"/>
              </w:rPr>
            </w:pPr>
            <w:r w:rsidRPr="00234210">
              <w:rPr>
                <w:rFonts w:eastAsia="MS Mincho"/>
                <w:b/>
                <w:color w:val="auto"/>
                <w:sz w:val="17"/>
                <w:szCs w:val="17"/>
                <w:lang w:val="en-GB" w:eastAsia="ja-JP"/>
              </w:rPr>
              <w:t>Duration</w:t>
            </w:r>
            <w:r w:rsidRPr="00234210">
              <w:rPr>
                <w:rFonts w:eastAsia="MS Mincho"/>
                <w:color w:val="auto"/>
                <w:sz w:val="17"/>
                <w:szCs w:val="17"/>
                <w:lang w:val="en-GB" w:eastAsia="ja-JP"/>
              </w:rPr>
              <w:t xml:space="preserve"> – should be dictated by evidence from randomised controlled trials whenever possible. Expert opinion from national and international guidelines should be consulted where evidence is weak.</w:t>
            </w:r>
          </w:p>
        </w:tc>
      </w:tr>
      <w:tr w:rsidR="0056723A" w:rsidRPr="00234210" w14:paraId="20381487" w14:textId="77777777" w:rsidTr="000809E0">
        <w:tc>
          <w:tcPr>
            <w:tcW w:w="8516" w:type="dxa"/>
          </w:tcPr>
          <w:p w14:paraId="7B7059F5" w14:textId="44882E46" w:rsidR="00950521" w:rsidRPr="00234210" w:rsidRDefault="0056723A" w:rsidP="003118D8">
            <w:pPr>
              <w:numPr>
                <w:ilvl w:val="0"/>
                <w:numId w:val="11"/>
              </w:numPr>
              <w:tabs>
                <w:tab w:val="clear" w:pos="2694"/>
                <w:tab w:val="clear" w:pos="2977"/>
              </w:tabs>
              <w:contextualSpacing/>
              <w:rPr>
                <w:rFonts w:eastAsia="MS Mincho"/>
                <w:color w:val="auto"/>
                <w:sz w:val="17"/>
                <w:szCs w:val="17"/>
                <w:lang w:val="en-GB" w:eastAsia="ja-JP"/>
              </w:rPr>
            </w:pPr>
            <w:r w:rsidRPr="00234210">
              <w:rPr>
                <w:rFonts w:eastAsia="MS Mincho"/>
                <w:b/>
                <w:color w:val="auto"/>
                <w:sz w:val="17"/>
                <w:szCs w:val="17"/>
                <w:lang w:val="en-GB" w:eastAsia="ja-JP"/>
              </w:rPr>
              <w:t xml:space="preserve">Route </w:t>
            </w:r>
            <w:r w:rsidRPr="00234210">
              <w:rPr>
                <w:rFonts w:eastAsia="MS Mincho"/>
                <w:color w:val="auto"/>
                <w:sz w:val="17"/>
                <w:szCs w:val="17"/>
                <w:lang w:val="en-GB" w:eastAsia="ja-JP"/>
              </w:rPr>
              <w:t>– most antibiotics have good oral bioavailability, but some infections will require intravenous therapy either for the whole or part of the course.</w:t>
            </w:r>
            <w:r w:rsidR="00895B99">
              <w:rPr>
                <w:rFonts w:eastAsia="MS Mincho"/>
                <w:color w:val="auto"/>
                <w:sz w:val="17"/>
                <w:szCs w:val="17"/>
                <w:lang w:val="en-GB" w:eastAsia="ja-JP"/>
              </w:rPr>
              <w:t xml:space="preserve"> Patients who are critically ill, or who would be expected to have impaired gastrointestinal absorption of </w:t>
            </w:r>
            <w:r w:rsidR="00322125">
              <w:rPr>
                <w:rFonts w:eastAsia="MS Mincho"/>
                <w:color w:val="auto"/>
                <w:sz w:val="17"/>
                <w:szCs w:val="17"/>
                <w:lang w:val="en-GB" w:eastAsia="ja-JP"/>
              </w:rPr>
              <w:t>medicines</w:t>
            </w:r>
            <w:r w:rsidR="00895B99">
              <w:rPr>
                <w:rFonts w:eastAsia="MS Mincho"/>
                <w:color w:val="auto"/>
                <w:sz w:val="17"/>
                <w:szCs w:val="17"/>
                <w:lang w:val="en-GB" w:eastAsia="ja-JP"/>
              </w:rPr>
              <w:t xml:space="preserve"> (e.g. excessive vomiting) may also require intravenous antibiotics initially. </w:t>
            </w:r>
          </w:p>
        </w:tc>
      </w:tr>
      <w:tr w:rsidR="0056723A" w:rsidRPr="00234210" w14:paraId="77F1ED17" w14:textId="77777777" w:rsidTr="000809E0">
        <w:tc>
          <w:tcPr>
            <w:tcW w:w="8516" w:type="dxa"/>
          </w:tcPr>
          <w:p w14:paraId="227830B9" w14:textId="77777777" w:rsidR="00950521" w:rsidRPr="00234210" w:rsidRDefault="0056723A" w:rsidP="003118D8">
            <w:pPr>
              <w:numPr>
                <w:ilvl w:val="0"/>
                <w:numId w:val="11"/>
              </w:numPr>
              <w:tabs>
                <w:tab w:val="clear" w:pos="2694"/>
                <w:tab w:val="clear" w:pos="2977"/>
              </w:tabs>
              <w:contextualSpacing/>
              <w:rPr>
                <w:rFonts w:eastAsia="MS Mincho"/>
                <w:color w:val="auto"/>
                <w:sz w:val="17"/>
                <w:szCs w:val="17"/>
                <w:lang w:val="en-GB" w:eastAsia="ja-JP"/>
              </w:rPr>
            </w:pPr>
            <w:r w:rsidRPr="00234210">
              <w:rPr>
                <w:rFonts w:eastAsia="MS Mincho"/>
                <w:b/>
                <w:color w:val="auto"/>
                <w:sz w:val="17"/>
                <w:szCs w:val="17"/>
                <w:lang w:val="en-GB" w:eastAsia="ja-JP"/>
              </w:rPr>
              <w:t>De-escalation</w:t>
            </w:r>
            <w:r w:rsidRPr="00234210">
              <w:rPr>
                <w:rFonts w:eastAsia="MS Mincho"/>
                <w:color w:val="auto"/>
                <w:sz w:val="17"/>
                <w:szCs w:val="17"/>
                <w:lang w:val="en-GB" w:eastAsia="ja-JP"/>
              </w:rPr>
              <w:t xml:space="preserve"> – applies to the spectrum of antibiotic use and route of administration. All attempts to convert early from parenteral to oral use should be made.</w:t>
            </w:r>
          </w:p>
        </w:tc>
      </w:tr>
      <w:tr w:rsidR="0056723A" w:rsidRPr="00234210" w14:paraId="7A759B67" w14:textId="77777777" w:rsidTr="000809E0">
        <w:tc>
          <w:tcPr>
            <w:tcW w:w="8516" w:type="dxa"/>
          </w:tcPr>
          <w:p w14:paraId="17217AED" w14:textId="77777777" w:rsidR="0056723A" w:rsidRPr="00234210" w:rsidRDefault="0056723A" w:rsidP="003118D8">
            <w:pPr>
              <w:tabs>
                <w:tab w:val="clear" w:pos="2694"/>
                <w:tab w:val="clear" w:pos="2977"/>
              </w:tabs>
              <w:ind w:left="720"/>
              <w:contextualSpacing/>
              <w:rPr>
                <w:rFonts w:eastAsia="MS Mincho"/>
                <w:color w:val="auto"/>
                <w:sz w:val="17"/>
                <w:szCs w:val="17"/>
                <w:lang w:val="en-GB" w:eastAsia="ja-JP"/>
              </w:rPr>
            </w:pPr>
            <w:r w:rsidRPr="00234210">
              <w:rPr>
                <w:rFonts w:eastAsia="MS Mincho"/>
                <w:color w:val="auto"/>
                <w:sz w:val="17"/>
                <w:szCs w:val="17"/>
                <w:lang w:val="en-GB" w:eastAsia="ja-JP"/>
              </w:rPr>
              <w:t>MIC = minimum inhibitory concentration.</w:t>
            </w:r>
          </w:p>
        </w:tc>
      </w:tr>
    </w:tbl>
    <w:p w14:paraId="0CD7BF4C" w14:textId="77777777" w:rsidR="004E70D2" w:rsidRPr="006B3363" w:rsidRDefault="004E70D2" w:rsidP="004E70D2">
      <w:pPr>
        <w:pStyle w:val="Heading1"/>
        <w:keepNext w:val="0"/>
        <w:widowControl w:val="0"/>
        <w:shd w:val="clear" w:color="auto" w:fill="auto"/>
        <w:tabs>
          <w:tab w:val="left" w:pos="360"/>
        </w:tabs>
        <w:rPr>
          <w:rFonts w:cs="Arial"/>
          <w:b w:val="0"/>
          <w:sz w:val="16"/>
          <w:lang w:val="en-GB"/>
        </w:rPr>
      </w:pPr>
      <w:bookmarkStart w:id="0" w:name="_Toc433976356"/>
      <w:bookmarkStart w:id="1" w:name="_Toc434078399"/>
    </w:p>
    <w:p w14:paraId="4BD28A45" w14:textId="77777777" w:rsidR="004E70D2" w:rsidRPr="006B3363" w:rsidRDefault="004E70D2" w:rsidP="004E70D2">
      <w:pPr>
        <w:pStyle w:val="head2"/>
        <w:rPr>
          <w:b w:val="0"/>
          <w:sz w:val="16"/>
          <w:lang w:val="en-GB"/>
        </w:rPr>
      </w:pPr>
    </w:p>
    <w:p w14:paraId="670F53BA" w14:textId="77777777" w:rsidR="006D4FB6" w:rsidRPr="00802C75" w:rsidRDefault="006D4FB6" w:rsidP="003C4ECA">
      <w:pPr>
        <w:pStyle w:val="Heading1"/>
        <w:tabs>
          <w:tab w:val="left" w:pos="360"/>
        </w:tabs>
        <w:rPr>
          <w:rFonts w:cs="Arial"/>
          <w:lang w:val="en-GB"/>
        </w:rPr>
      </w:pPr>
      <w:r w:rsidRPr="00802C75">
        <w:rPr>
          <w:rFonts w:cs="Arial"/>
          <w:lang w:val="en-GB"/>
        </w:rPr>
        <w:t xml:space="preserve">9.1 </w:t>
      </w:r>
      <w:r w:rsidR="00A23D2D" w:rsidRPr="00802C75">
        <w:rPr>
          <w:rFonts w:cs="Arial"/>
          <w:lang w:val="en-GB"/>
        </w:rPr>
        <w:t>HEALTHCARE-</w:t>
      </w:r>
      <w:r w:rsidR="003C4ECA" w:rsidRPr="00802C75">
        <w:rPr>
          <w:rFonts w:cs="Arial"/>
          <w:lang w:val="en-GB"/>
        </w:rPr>
        <w:t xml:space="preserve">ASSOCIATED </w:t>
      </w:r>
      <w:r w:rsidR="003C4ECA">
        <w:rPr>
          <w:rFonts w:cs="Arial"/>
          <w:lang w:val="en-GB"/>
        </w:rPr>
        <w:t>AND</w:t>
      </w:r>
      <w:r w:rsidR="002806B8">
        <w:rPr>
          <w:rFonts w:cs="Arial"/>
          <w:lang w:val="en-GB"/>
        </w:rPr>
        <w:t xml:space="preserve"> HOSPITAL </w:t>
      </w:r>
      <w:r w:rsidR="003C4ECA">
        <w:rPr>
          <w:rFonts w:cs="Arial"/>
          <w:lang w:val="en-GB"/>
        </w:rPr>
        <w:tab/>
      </w:r>
      <w:r w:rsidR="002806B8">
        <w:rPr>
          <w:rFonts w:cs="Arial"/>
          <w:lang w:val="en-GB"/>
        </w:rPr>
        <w:t xml:space="preserve">AcQUIRED </w:t>
      </w:r>
      <w:r w:rsidRPr="00802C75">
        <w:rPr>
          <w:rFonts w:cs="Arial"/>
          <w:lang w:val="en-GB"/>
        </w:rPr>
        <w:t>INFECTIONS</w:t>
      </w:r>
      <w:bookmarkEnd w:id="0"/>
      <w:bookmarkEnd w:id="1"/>
    </w:p>
    <w:p w14:paraId="520BFE88" w14:textId="77777777" w:rsidR="006D4FB6" w:rsidRPr="0085135C" w:rsidRDefault="006D4FB6" w:rsidP="006D4FB6">
      <w:pPr>
        <w:rPr>
          <w:sz w:val="16"/>
          <w:lang w:val="en-GB"/>
        </w:rPr>
      </w:pPr>
    </w:p>
    <w:p w14:paraId="313079D4" w14:textId="77777777" w:rsidR="006D4FB6" w:rsidRPr="00802C75" w:rsidRDefault="006D4FB6" w:rsidP="0056723A">
      <w:pPr>
        <w:pStyle w:val="Heading3"/>
        <w:keepNext w:val="0"/>
        <w:widowControl w:val="0"/>
        <w:rPr>
          <w:lang w:val="en-GB"/>
        </w:rPr>
      </w:pPr>
      <w:r w:rsidRPr="00802C75">
        <w:rPr>
          <w:lang w:val="en-GB"/>
        </w:rPr>
        <w:t>Definition and principles</w:t>
      </w:r>
    </w:p>
    <w:p w14:paraId="2BBE8C5D" w14:textId="5EE96966" w:rsidR="00921FF4" w:rsidRDefault="002806B8" w:rsidP="0056723A">
      <w:pPr>
        <w:widowControl w:val="0"/>
        <w:rPr>
          <w:lang w:val="en-GB"/>
        </w:rPr>
      </w:pPr>
      <w:r w:rsidRPr="002806B8">
        <w:rPr>
          <w:lang w:val="en-GB"/>
        </w:rPr>
        <w:t xml:space="preserve">Patients with </w:t>
      </w:r>
      <w:r w:rsidR="00CB690F">
        <w:rPr>
          <w:lang w:val="en-GB"/>
        </w:rPr>
        <w:t>h</w:t>
      </w:r>
      <w:r w:rsidRPr="002806B8">
        <w:rPr>
          <w:lang w:val="en-GB"/>
        </w:rPr>
        <w:t xml:space="preserve">ealthcare associated </w:t>
      </w:r>
      <w:r>
        <w:rPr>
          <w:lang w:val="en-GB"/>
        </w:rPr>
        <w:t xml:space="preserve">and </w:t>
      </w:r>
      <w:r w:rsidR="00CB690F">
        <w:rPr>
          <w:lang w:val="en-GB"/>
        </w:rPr>
        <w:t>h</w:t>
      </w:r>
      <w:r>
        <w:rPr>
          <w:lang w:val="en-GB"/>
        </w:rPr>
        <w:t xml:space="preserve">ospital acquired </w:t>
      </w:r>
      <w:r w:rsidRPr="002806B8">
        <w:rPr>
          <w:lang w:val="en-GB"/>
        </w:rPr>
        <w:t>infections are at increased risk of being infected with drug resistant organisms.</w:t>
      </w:r>
      <w:r>
        <w:rPr>
          <w:lang w:val="en-GB"/>
        </w:rPr>
        <w:t xml:space="preserve">  A </w:t>
      </w:r>
      <w:r w:rsidR="00CB690F">
        <w:rPr>
          <w:lang w:val="en-GB"/>
        </w:rPr>
        <w:t>h</w:t>
      </w:r>
      <w:r>
        <w:rPr>
          <w:lang w:val="en-GB"/>
        </w:rPr>
        <w:t>ospital acquired infection</w:t>
      </w:r>
      <w:r w:rsidR="00A57164" w:rsidRPr="00802C75">
        <w:rPr>
          <w:lang w:val="en-GB"/>
        </w:rPr>
        <w:t xml:space="preserve"> is a new infection that develops after </w:t>
      </w:r>
      <w:r>
        <w:rPr>
          <w:lang w:val="en-GB"/>
        </w:rPr>
        <w:t xml:space="preserve">at least 48 hours of </w:t>
      </w:r>
      <w:r w:rsidR="00A57164" w:rsidRPr="00802C75">
        <w:rPr>
          <w:lang w:val="en-GB"/>
        </w:rPr>
        <w:lastRenderedPageBreak/>
        <w:t>hospitalisation</w:t>
      </w:r>
      <w:r w:rsidR="00C34AE3">
        <w:rPr>
          <w:lang w:val="en-GB"/>
        </w:rPr>
        <w:t xml:space="preserve"> </w:t>
      </w:r>
      <w:r w:rsidR="00F4747B">
        <w:rPr>
          <w:lang w:val="en-GB"/>
        </w:rPr>
        <w:t xml:space="preserve">without </w:t>
      </w:r>
      <w:r w:rsidR="00C34AE3">
        <w:rPr>
          <w:lang w:val="en-GB"/>
        </w:rPr>
        <w:t>evidence that the infection was present or incubating at the time of admission</w:t>
      </w:r>
      <w:r w:rsidR="00A57164" w:rsidRPr="00802C75">
        <w:rPr>
          <w:lang w:val="en-GB"/>
        </w:rPr>
        <w:t>.</w:t>
      </w:r>
      <w:r w:rsidR="00F4747B">
        <w:rPr>
          <w:lang w:val="en-GB"/>
        </w:rPr>
        <w:t xml:space="preserve"> </w:t>
      </w:r>
      <w:r>
        <w:rPr>
          <w:lang w:val="en-GB"/>
        </w:rPr>
        <w:t>Healthcare</w:t>
      </w:r>
      <w:r w:rsidR="00E61677">
        <w:rPr>
          <w:lang w:val="en-GB"/>
        </w:rPr>
        <w:t>-</w:t>
      </w:r>
      <w:r>
        <w:rPr>
          <w:lang w:val="en-GB"/>
        </w:rPr>
        <w:t>associated infections should</w:t>
      </w:r>
      <w:r w:rsidR="0073232E">
        <w:rPr>
          <w:lang w:val="en-GB"/>
        </w:rPr>
        <w:t xml:space="preserve"> also</w:t>
      </w:r>
      <w:r>
        <w:rPr>
          <w:lang w:val="en-GB"/>
        </w:rPr>
        <w:t xml:space="preserve"> be considered in persons with</w:t>
      </w:r>
      <w:r w:rsidR="009A33F1" w:rsidRPr="00802C75">
        <w:rPr>
          <w:lang w:val="en-GB"/>
        </w:rPr>
        <w:t xml:space="preserve"> extensive healthcare contact </w:t>
      </w:r>
      <w:r>
        <w:rPr>
          <w:lang w:val="en-GB"/>
        </w:rPr>
        <w:t>such as</w:t>
      </w:r>
      <w:r w:rsidR="009A33F1" w:rsidRPr="00802C75">
        <w:rPr>
          <w:lang w:val="en-GB"/>
        </w:rPr>
        <w:t xml:space="preserve">: </w:t>
      </w:r>
      <w:r w:rsidR="00311E48" w:rsidRPr="00802C75">
        <w:rPr>
          <w:lang w:val="en-GB"/>
        </w:rPr>
        <w:t>residence in a nursing</w:t>
      </w:r>
      <w:r w:rsidR="00BB5EA1">
        <w:rPr>
          <w:lang w:val="en-GB"/>
        </w:rPr>
        <w:t xml:space="preserve"> </w:t>
      </w:r>
      <w:r w:rsidR="00311E48" w:rsidRPr="00802C75">
        <w:rPr>
          <w:lang w:val="en-GB"/>
        </w:rPr>
        <w:t xml:space="preserve">home or other long-term care facility, </w:t>
      </w:r>
      <w:r w:rsidR="00AC79C5" w:rsidRPr="00802C75">
        <w:rPr>
          <w:lang w:val="en-GB"/>
        </w:rPr>
        <w:t>hospitali</w:t>
      </w:r>
      <w:r w:rsidR="00AC79C5">
        <w:rPr>
          <w:lang w:val="en-GB"/>
        </w:rPr>
        <w:t>s</w:t>
      </w:r>
      <w:r w:rsidR="00AC79C5" w:rsidRPr="00802C75">
        <w:rPr>
          <w:lang w:val="en-GB"/>
        </w:rPr>
        <w:t xml:space="preserve">ation </w:t>
      </w:r>
      <w:r w:rsidR="00311E48" w:rsidRPr="00802C75">
        <w:rPr>
          <w:lang w:val="en-GB"/>
        </w:rPr>
        <w:t>in an</w:t>
      </w:r>
      <w:r w:rsidR="00BB5EA1">
        <w:rPr>
          <w:lang w:val="en-GB"/>
        </w:rPr>
        <w:t xml:space="preserve"> </w:t>
      </w:r>
      <w:r w:rsidR="00311E48" w:rsidRPr="00802C75">
        <w:rPr>
          <w:lang w:val="en-GB"/>
        </w:rPr>
        <w:t xml:space="preserve">acute care hospital for </w:t>
      </w:r>
      <w:r w:rsidR="00CA4C65" w:rsidRPr="00802C75">
        <w:rPr>
          <w:lang w:val="en-GB"/>
        </w:rPr>
        <w:t>&gt;</w:t>
      </w:r>
      <w:r w:rsidR="00311E48" w:rsidRPr="00802C75">
        <w:rPr>
          <w:lang w:val="en-GB"/>
        </w:rPr>
        <w:t>2 days during the prior 90 days, or</w:t>
      </w:r>
      <w:r w:rsidR="00BB5EA1">
        <w:rPr>
          <w:lang w:val="en-GB"/>
        </w:rPr>
        <w:t xml:space="preserve"> </w:t>
      </w:r>
      <w:r w:rsidR="00311E48" w:rsidRPr="00802C75">
        <w:rPr>
          <w:lang w:val="en-GB"/>
        </w:rPr>
        <w:t>attendance at a hospital or h</w:t>
      </w:r>
      <w:r w:rsidR="00AC79C5">
        <w:rPr>
          <w:lang w:val="en-GB"/>
        </w:rPr>
        <w:t>a</w:t>
      </w:r>
      <w:r w:rsidR="00311E48" w:rsidRPr="00802C75">
        <w:rPr>
          <w:lang w:val="en-GB"/>
        </w:rPr>
        <w:t>emodialysis clinic during the prior</w:t>
      </w:r>
      <w:r w:rsidR="006B3363">
        <w:rPr>
          <w:lang w:val="en-GB"/>
        </w:rPr>
        <w:t xml:space="preserve"> </w:t>
      </w:r>
      <w:r w:rsidR="00311E48" w:rsidRPr="00802C75">
        <w:rPr>
          <w:lang w:val="en-GB"/>
        </w:rPr>
        <w:t xml:space="preserve">30 days. </w:t>
      </w:r>
    </w:p>
    <w:p w14:paraId="481B972A" w14:textId="77777777" w:rsidR="00EF29F1" w:rsidRPr="00AC5E41" w:rsidRDefault="00EF29F1" w:rsidP="0056723A">
      <w:pPr>
        <w:widowControl w:val="0"/>
        <w:rPr>
          <w:sz w:val="10"/>
          <w:lang w:val="en-GB"/>
        </w:rPr>
      </w:pPr>
    </w:p>
    <w:p w14:paraId="6582F5C1" w14:textId="77777777" w:rsidR="006D4FB6" w:rsidRPr="00802C75" w:rsidRDefault="006D4FB6" w:rsidP="0056723A">
      <w:pPr>
        <w:widowControl w:val="0"/>
        <w:rPr>
          <w:lang w:val="en-GB"/>
        </w:rPr>
      </w:pPr>
      <w:r w:rsidRPr="00802C75">
        <w:rPr>
          <w:b/>
          <w:lang w:val="en-GB"/>
        </w:rPr>
        <w:t>It is essential to obtain specimens for culture and sensitivity testing in all cases before starting antibiotics</w:t>
      </w:r>
      <w:r w:rsidR="00CA4C65" w:rsidRPr="00802C75">
        <w:rPr>
          <w:b/>
          <w:lang w:val="en-GB"/>
        </w:rPr>
        <w:t>.</w:t>
      </w:r>
    </w:p>
    <w:p w14:paraId="6C1AE299" w14:textId="77777777" w:rsidR="006A6B91" w:rsidRPr="00AC5E41" w:rsidRDefault="006A6B91" w:rsidP="0056723A">
      <w:pPr>
        <w:widowControl w:val="0"/>
        <w:rPr>
          <w:sz w:val="10"/>
          <w:lang w:val="en-GB"/>
        </w:rPr>
      </w:pPr>
    </w:p>
    <w:p w14:paraId="5E740097" w14:textId="4E80FAD1" w:rsidR="006D4FB6" w:rsidRDefault="006D4FB6" w:rsidP="0056723A">
      <w:pPr>
        <w:widowControl w:val="0"/>
        <w:rPr>
          <w:lang w:val="en-GB"/>
        </w:rPr>
      </w:pPr>
      <w:r w:rsidRPr="00802C75">
        <w:rPr>
          <w:lang w:val="en-GB"/>
        </w:rPr>
        <w:t>Empiric therapy suggestions below are only rough guidelines</w:t>
      </w:r>
      <w:r w:rsidR="00CA4C65" w:rsidRPr="00802C75">
        <w:rPr>
          <w:lang w:val="en-GB"/>
        </w:rPr>
        <w:t xml:space="preserve"> due to </w:t>
      </w:r>
      <w:proofErr w:type="spellStart"/>
      <w:r w:rsidR="00CA4C65" w:rsidRPr="00802C75">
        <w:rPr>
          <w:lang w:val="en-GB"/>
        </w:rPr>
        <w:t>heterogenity</w:t>
      </w:r>
      <w:proofErr w:type="spellEnd"/>
      <w:r w:rsidR="00CA4C65" w:rsidRPr="00802C75">
        <w:rPr>
          <w:lang w:val="en-GB"/>
        </w:rPr>
        <w:t xml:space="preserve"> of </w:t>
      </w:r>
      <w:r w:rsidR="00D104EF" w:rsidRPr="00802C75">
        <w:rPr>
          <w:lang w:val="en-GB"/>
        </w:rPr>
        <w:t>resistance patterns between facilities and over time.</w:t>
      </w:r>
      <w:r w:rsidRPr="00802C75">
        <w:rPr>
          <w:lang w:val="en-GB"/>
        </w:rPr>
        <w:t xml:space="preserve"> Close liaison with regional microbiologists and regular review of hospital antibiotic policy </w:t>
      </w:r>
      <w:r w:rsidR="00D104EF" w:rsidRPr="00802C75">
        <w:rPr>
          <w:lang w:val="en-GB"/>
        </w:rPr>
        <w:t xml:space="preserve">based on local resistance patterns </w:t>
      </w:r>
      <w:r w:rsidRPr="00802C75">
        <w:rPr>
          <w:lang w:val="en-GB"/>
        </w:rPr>
        <w:t>are essential.</w:t>
      </w:r>
    </w:p>
    <w:p w14:paraId="452314C5" w14:textId="77777777" w:rsidR="00D024FB" w:rsidRPr="00802C75" w:rsidRDefault="00D024FB" w:rsidP="0056723A">
      <w:pPr>
        <w:widowControl w:val="0"/>
        <w:rPr>
          <w:lang w:val="en-GB"/>
        </w:rPr>
      </w:pPr>
    </w:p>
    <w:p w14:paraId="0A403910" w14:textId="77777777" w:rsidR="006D4FB6" w:rsidRPr="00802C75" w:rsidRDefault="006D4FB6" w:rsidP="006D4FB6">
      <w:pPr>
        <w:pStyle w:val="Heading2"/>
        <w:rPr>
          <w:sz w:val="22"/>
          <w:szCs w:val="22"/>
          <w:lang w:val="en-GB"/>
        </w:rPr>
      </w:pPr>
      <w:r w:rsidRPr="00802C75">
        <w:rPr>
          <w:sz w:val="22"/>
          <w:szCs w:val="22"/>
          <w:lang w:val="en-GB"/>
        </w:rPr>
        <w:t xml:space="preserve">9.1.1 Intravascular </w:t>
      </w:r>
      <w:r w:rsidR="00E66063" w:rsidRPr="00802C75">
        <w:rPr>
          <w:sz w:val="22"/>
          <w:szCs w:val="22"/>
          <w:lang w:val="en-GB"/>
        </w:rPr>
        <w:t>catheter</w:t>
      </w:r>
      <w:r w:rsidRPr="00802C75">
        <w:rPr>
          <w:sz w:val="22"/>
          <w:szCs w:val="22"/>
          <w:lang w:val="en-GB"/>
        </w:rPr>
        <w:t xml:space="preserve"> infections</w:t>
      </w:r>
    </w:p>
    <w:p w14:paraId="5CD9C0F3" w14:textId="79FB13CD" w:rsidR="00A468AA" w:rsidRPr="00802C75" w:rsidRDefault="000018CA" w:rsidP="00A468AA">
      <w:pPr>
        <w:pStyle w:val="ICD10heading"/>
        <w:rPr>
          <w:lang w:val="en-GB"/>
        </w:rPr>
      </w:pPr>
      <w:r>
        <w:rPr>
          <w:lang w:val="en-GB"/>
        </w:rPr>
        <w:t>L53.9/</w:t>
      </w:r>
      <w:r w:rsidR="00A468AA" w:rsidRPr="00802C75">
        <w:rPr>
          <w:lang w:val="en-GB"/>
        </w:rPr>
        <w:t>t80</w:t>
      </w:r>
      <w:r w:rsidR="00A468AA">
        <w:rPr>
          <w:lang w:val="en-GB"/>
        </w:rPr>
        <w:t>.2 + (B95.8/Y84.8/B37.8)</w:t>
      </w:r>
    </w:p>
    <w:p w14:paraId="28CC1594" w14:textId="77777777" w:rsidR="006D4FB6" w:rsidRPr="00AC5E41" w:rsidRDefault="006D4FB6" w:rsidP="006D4FB6">
      <w:pPr>
        <w:rPr>
          <w:sz w:val="16"/>
          <w:lang w:val="en-GB"/>
        </w:rPr>
      </w:pPr>
    </w:p>
    <w:p w14:paraId="38648670" w14:textId="77777777" w:rsidR="00E66063" w:rsidRPr="004A56B2" w:rsidRDefault="00E66063" w:rsidP="006D4FB6">
      <w:pPr>
        <w:pStyle w:val="Heading3"/>
        <w:rPr>
          <w:color w:val="auto"/>
          <w:lang w:val="en-GB"/>
        </w:rPr>
      </w:pPr>
      <w:r w:rsidRPr="004A56B2">
        <w:rPr>
          <w:color w:val="auto"/>
          <w:lang w:val="en-GB"/>
        </w:rPr>
        <w:t>Peripheral line Infection:</w:t>
      </w:r>
    </w:p>
    <w:p w14:paraId="03864EF5" w14:textId="77777777" w:rsidR="006D4FB6" w:rsidRPr="004A56B2" w:rsidRDefault="006D4FB6" w:rsidP="006D4FB6">
      <w:pPr>
        <w:rPr>
          <w:color w:val="auto"/>
          <w:lang w:val="en-GB"/>
        </w:rPr>
      </w:pPr>
      <w:r w:rsidRPr="004A56B2">
        <w:rPr>
          <w:color w:val="auto"/>
          <w:lang w:val="en-GB"/>
        </w:rPr>
        <w:t>Common organisms:</w:t>
      </w:r>
    </w:p>
    <w:p w14:paraId="528FBF6E" w14:textId="57752B2A" w:rsidR="006D4FB6" w:rsidRPr="004A56B2" w:rsidRDefault="006D4FB6" w:rsidP="00453E32">
      <w:pPr>
        <w:pStyle w:val="Textbullet"/>
        <w:ind w:left="284" w:hanging="284"/>
        <w:rPr>
          <w:color w:val="auto"/>
          <w:lang w:val="en-GB"/>
        </w:rPr>
      </w:pPr>
      <w:r w:rsidRPr="004A56B2">
        <w:rPr>
          <w:color w:val="auto"/>
          <w:lang w:val="en-GB"/>
        </w:rPr>
        <w:t>coagulase negative staphylococci</w:t>
      </w:r>
      <w:r w:rsidR="00E81257">
        <w:rPr>
          <w:color w:val="auto"/>
          <w:lang w:val="en-GB"/>
        </w:rPr>
        <w:t>,</w:t>
      </w:r>
      <w:r w:rsidR="00767B35" w:rsidRPr="004A56B2">
        <w:rPr>
          <w:color w:val="auto"/>
          <w:lang w:val="en-GB"/>
        </w:rPr>
        <w:t xml:space="preserve"> particularly </w:t>
      </w:r>
      <w:r w:rsidR="00767B35" w:rsidRPr="004A56B2">
        <w:rPr>
          <w:i/>
          <w:color w:val="auto"/>
          <w:lang w:val="en-GB"/>
        </w:rPr>
        <w:t>S</w:t>
      </w:r>
      <w:r w:rsidR="00C67C38" w:rsidRPr="004A56B2">
        <w:rPr>
          <w:i/>
          <w:color w:val="auto"/>
          <w:lang w:val="en-GB"/>
        </w:rPr>
        <w:t>.</w:t>
      </w:r>
      <w:r w:rsidR="00767B35" w:rsidRPr="004A56B2">
        <w:rPr>
          <w:i/>
          <w:color w:val="auto"/>
          <w:lang w:val="en-GB"/>
        </w:rPr>
        <w:t xml:space="preserve"> epidermis</w:t>
      </w:r>
    </w:p>
    <w:p w14:paraId="6FAFC22A" w14:textId="77777777" w:rsidR="00175D06" w:rsidRPr="004A56B2" w:rsidRDefault="006D4FB6" w:rsidP="00453E32">
      <w:pPr>
        <w:pStyle w:val="Textbullet"/>
        <w:ind w:left="284" w:hanging="284"/>
        <w:rPr>
          <w:i/>
          <w:color w:val="auto"/>
          <w:lang w:val="en-GB"/>
        </w:rPr>
      </w:pPr>
      <w:r w:rsidRPr="004A56B2">
        <w:rPr>
          <w:i/>
          <w:color w:val="auto"/>
          <w:lang w:val="en-GB"/>
        </w:rPr>
        <w:t>S. aureus</w:t>
      </w:r>
    </w:p>
    <w:p w14:paraId="44B8B1FB" w14:textId="77777777" w:rsidR="0056723A" w:rsidRPr="004A56B2" w:rsidRDefault="0056723A" w:rsidP="006D4FB6">
      <w:pPr>
        <w:rPr>
          <w:color w:val="auto"/>
          <w:sz w:val="10"/>
          <w:lang w:val="en-GB"/>
        </w:rPr>
      </w:pPr>
    </w:p>
    <w:p w14:paraId="7C90B33C" w14:textId="77777777" w:rsidR="00E66063" w:rsidRDefault="006D4FB6" w:rsidP="006D4FB6">
      <w:pPr>
        <w:rPr>
          <w:b/>
          <w:color w:val="auto"/>
          <w:lang w:val="en-GB"/>
        </w:rPr>
      </w:pPr>
      <w:r w:rsidRPr="004A56B2">
        <w:rPr>
          <w:b/>
          <w:color w:val="auto"/>
          <w:lang w:val="en-GB"/>
        </w:rPr>
        <w:t>The intravascular line should always be removed.</w:t>
      </w:r>
    </w:p>
    <w:p w14:paraId="082E2646" w14:textId="77777777" w:rsidR="00BB5EA1" w:rsidRPr="006B76B0" w:rsidRDefault="00BB5EA1" w:rsidP="006D4FB6">
      <w:pPr>
        <w:rPr>
          <w:color w:val="auto"/>
          <w:sz w:val="10"/>
          <w:lang w:val="en-GB"/>
        </w:rPr>
      </w:pPr>
    </w:p>
    <w:p w14:paraId="07CC0021" w14:textId="77777777" w:rsidR="006B0592" w:rsidRPr="00453E32" w:rsidRDefault="006B0592" w:rsidP="006B0592">
      <w:pPr>
        <w:rPr>
          <w:color w:val="auto"/>
          <w:sz w:val="10"/>
          <w:lang w:val="en-GB"/>
        </w:rPr>
      </w:pPr>
    </w:p>
    <w:p w14:paraId="563908D2" w14:textId="66397021" w:rsidR="0056723A" w:rsidRPr="004A56B2" w:rsidRDefault="00B81570" w:rsidP="006D4FB6">
      <w:pPr>
        <w:rPr>
          <w:color w:val="auto"/>
          <w:lang w:val="en-GB"/>
        </w:rPr>
      </w:pPr>
      <w:r w:rsidRPr="004A56B2">
        <w:rPr>
          <w:color w:val="auto"/>
          <w:lang w:val="en-GB"/>
        </w:rPr>
        <w:t>Small, localised</w:t>
      </w:r>
      <w:r w:rsidR="00E66063" w:rsidRPr="004A56B2">
        <w:rPr>
          <w:color w:val="auto"/>
          <w:lang w:val="en-GB"/>
        </w:rPr>
        <w:t xml:space="preserve"> area of erythema </w:t>
      </w:r>
      <w:r w:rsidR="00EF013A" w:rsidRPr="004A56B2">
        <w:rPr>
          <w:color w:val="auto"/>
          <w:lang w:val="en-GB"/>
        </w:rPr>
        <w:t xml:space="preserve">at the catheter insertion site </w:t>
      </w:r>
      <w:r w:rsidR="00E66063" w:rsidRPr="004A56B2">
        <w:rPr>
          <w:color w:val="auto"/>
          <w:lang w:val="en-GB"/>
        </w:rPr>
        <w:t xml:space="preserve">will usually resolve without antibiotic therapy. </w:t>
      </w:r>
    </w:p>
    <w:p w14:paraId="65143C39" w14:textId="77777777" w:rsidR="0085135C" w:rsidRPr="004A56B2" w:rsidRDefault="0085135C" w:rsidP="006D4FB6">
      <w:pPr>
        <w:rPr>
          <w:color w:val="auto"/>
          <w:sz w:val="10"/>
          <w:lang w:val="en-GB"/>
        </w:rPr>
      </w:pPr>
    </w:p>
    <w:p w14:paraId="5457520A" w14:textId="22081603" w:rsidR="0085135C" w:rsidRPr="004A56B2" w:rsidRDefault="00E66063" w:rsidP="006D4FB6">
      <w:pPr>
        <w:rPr>
          <w:color w:val="auto"/>
          <w:u w:val="single"/>
          <w:lang w:val="en-GB"/>
        </w:rPr>
      </w:pPr>
      <w:r w:rsidRPr="004A56B2">
        <w:rPr>
          <w:color w:val="auto"/>
          <w:u w:val="single"/>
          <w:lang w:val="en-GB"/>
        </w:rPr>
        <w:t>In patients with large</w:t>
      </w:r>
      <w:r w:rsidR="00EF013A" w:rsidRPr="004A56B2">
        <w:rPr>
          <w:color w:val="auto"/>
          <w:u w:val="single"/>
          <w:lang w:val="en-GB"/>
        </w:rPr>
        <w:t>r</w:t>
      </w:r>
      <w:r w:rsidRPr="004A56B2">
        <w:rPr>
          <w:color w:val="auto"/>
          <w:u w:val="single"/>
          <w:lang w:val="en-GB"/>
        </w:rPr>
        <w:t xml:space="preserve"> areas of erythema and tenderness</w:t>
      </w:r>
      <w:r w:rsidR="00EF013A" w:rsidRPr="004A56B2">
        <w:rPr>
          <w:color w:val="auto"/>
          <w:u w:val="single"/>
          <w:lang w:val="en-GB"/>
        </w:rPr>
        <w:t xml:space="preserve"> extending beyond the insertion site</w:t>
      </w:r>
      <w:r w:rsidRPr="004A56B2">
        <w:rPr>
          <w:color w:val="auto"/>
          <w:u w:val="single"/>
          <w:lang w:val="en-GB"/>
        </w:rPr>
        <w:t xml:space="preserve"> </w:t>
      </w:r>
      <w:r w:rsidR="0028375A">
        <w:rPr>
          <w:color w:val="auto"/>
          <w:u w:val="single"/>
          <w:lang w:val="en-GB"/>
        </w:rPr>
        <w:t>who</w:t>
      </w:r>
      <w:r w:rsidR="0028375A" w:rsidRPr="004A56B2">
        <w:rPr>
          <w:color w:val="auto"/>
          <w:u w:val="single"/>
          <w:lang w:val="en-GB"/>
        </w:rPr>
        <w:t xml:space="preserve"> </w:t>
      </w:r>
      <w:r w:rsidRPr="004A56B2">
        <w:rPr>
          <w:color w:val="auto"/>
          <w:u w:val="single"/>
          <w:lang w:val="en-GB"/>
        </w:rPr>
        <w:t>are systemically well</w:t>
      </w:r>
      <w:r w:rsidR="006A60FE" w:rsidRPr="004A56B2">
        <w:rPr>
          <w:color w:val="auto"/>
          <w:u w:val="single"/>
          <w:lang w:val="en-GB"/>
        </w:rPr>
        <w:t xml:space="preserve">: </w:t>
      </w:r>
    </w:p>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
      </w:tblGrid>
      <w:tr w:rsidR="0085135C" w:rsidRPr="004A56B2" w14:paraId="6E87EBEB" w14:textId="77777777" w:rsidTr="004F4BD4">
        <w:tc>
          <w:tcPr>
            <w:tcW w:w="1134" w:type="dxa"/>
            <w:shd w:val="clear" w:color="auto" w:fill="auto"/>
          </w:tcPr>
          <w:p w14:paraId="34F322B9" w14:textId="389B53F4" w:rsidR="0085135C" w:rsidRPr="004A56B2" w:rsidRDefault="0085135C" w:rsidP="004F4BD4">
            <w:pPr>
              <w:jc w:val="right"/>
              <w:rPr>
                <w:b/>
                <w:i/>
                <w:color w:val="auto"/>
              </w:rPr>
            </w:pPr>
            <w:proofErr w:type="spellStart"/>
            <w:r w:rsidRPr="004A56B2">
              <w:rPr>
                <w:i/>
                <w:color w:val="auto"/>
              </w:rPr>
              <w:t>LoE:III</w:t>
            </w:r>
            <w:r w:rsidR="00DA6CD1">
              <w:rPr>
                <w:i/>
                <w:color w:val="auto"/>
              </w:rPr>
              <w:t>b</w:t>
            </w:r>
            <w:proofErr w:type="spellEnd"/>
            <w:r w:rsidRPr="004A56B2">
              <w:rPr>
                <w:i/>
                <w:color w:val="auto"/>
                <w:vertAlign w:val="superscript"/>
              </w:rPr>
              <w:endnoteReference w:id="2"/>
            </w:r>
          </w:p>
        </w:tc>
      </w:tr>
    </w:tbl>
    <w:p w14:paraId="6F7298F8" w14:textId="77777777" w:rsidR="0056723A" w:rsidRPr="004A56B2" w:rsidRDefault="0056723A" w:rsidP="006D4FB6">
      <w:pPr>
        <w:rPr>
          <w:color w:val="auto"/>
          <w:sz w:val="2"/>
          <w:lang w:val="en-GB"/>
        </w:rPr>
      </w:pPr>
    </w:p>
    <w:p w14:paraId="1A635303" w14:textId="77777777" w:rsidR="00DF75EE" w:rsidRPr="004A56B2" w:rsidRDefault="006A60FE" w:rsidP="0056723A">
      <w:pPr>
        <w:pStyle w:val="Medicinebullet1"/>
        <w:numPr>
          <w:ilvl w:val="0"/>
          <w:numId w:val="3"/>
        </w:numPr>
        <w:rPr>
          <w:b/>
          <w:lang w:val="en-GB"/>
        </w:rPr>
      </w:pPr>
      <w:r w:rsidRPr="004A56B2">
        <w:rPr>
          <w:lang w:val="en-GB"/>
        </w:rPr>
        <w:t>Clindamycin</w:t>
      </w:r>
      <w:r w:rsidR="00630CBA" w:rsidRPr="004A56B2">
        <w:rPr>
          <w:lang w:val="en-GB"/>
        </w:rPr>
        <w:t>, oral,</w:t>
      </w:r>
      <w:r w:rsidRPr="004A56B2">
        <w:rPr>
          <w:lang w:val="en-GB"/>
        </w:rPr>
        <w:t xml:space="preserve"> 450</w:t>
      </w:r>
      <w:r w:rsidR="00BC76E3" w:rsidRPr="004A56B2">
        <w:rPr>
          <w:lang w:val="en-GB"/>
        </w:rPr>
        <w:t xml:space="preserve"> </w:t>
      </w:r>
      <w:r w:rsidRPr="004A56B2">
        <w:rPr>
          <w:lang w:val="en-GB"/>
        </w:rPr>
        <w:t>mg 8</w:t>
      </w:r>
      <w:r w:rsidR="004C2E3D">
        <w:rPr>
          <w:lang w:val="en-GB"/>
        </w:rPr>
        <w:t xml:space="preserve"> </w:t>
      </w:r>
      <w:r w:rsidRPr="004A56B2">
        <w:rPr>
          <w:lang w:val="en-GB"/>
        </w:rPr>
        <w:t>h</w:t>
      </w:r>
      <w:r w:rsidR="00630CBA" w:rsidRPr="004A56B2">
        <w:rPr>
          <w:lang w:val="en-GB"/>
        </w:rPr>
        <w:t>ou</w:t>
      </w:r>
      <w:r w:rsidRPr="004A56B2">
        <w:rPr>
          <w:lang w:val="en-GB"/>
        </w:rPr>
        <w:t>rly for 5 days.</w:t>
      </w:r>
    </w:p>
    <w:p w14:paraId="6F7469BC" w14:textId="77777777" w:rsidR="006A60FE" w:rsidRPr="004A56B2" w:rsidRDefault="006A60FE" w:rsidP="006D4FB6">
      <w:pPr>
        <w:rPr>
          <w:color w:val="auto"/>
          <w:sz w:val="10"/>
          <w:lang w:val="en-GB"/>
        </w:rPr>
      </w:pPr>
    </w:p>
    <w:p w14:paraId="600954B8" w14:textId="4F9C6170" w:rsidR="006A60FE" w:rsidRPr="004A56B2" w:rsidRDefault="006A60FE" w:rsidP="006D4FB6">
      <w:pPr>
        <w:rPr>
          <w:color w:val="auto"/>
          <w:lang w:val="en-GB"/>
        </w:rPr>
      </w:pPr>
      <w:r w:rsidRPr="004A56B2">
        <w:rPr>
          <w:color w:val="auto"/>
          <w:lang w:val="en-GB"/>
        </w:rPr>
        <w:t xml:space="preserve">If patients are systemically unwell they should be treated as </w:t>
      </w:r>
      <w:r w:rsidR="00150122">
        <w:rPr>
          <w:color w:val="auto"/>
          <w:lang w:val="en-GB"/>
        </w:rPr>
        <w:t xml:space="preserve">for </w:t>
      </w:r>
      <w:r w:rsidRPr="004A56B2">
        <w:rPr>
          <w:color w:val="auto"/>
          <w:lang w:val="en-GB"/>
        </w:rPr>
        <w:t xml:space="preserve">a </w:t>
      </w:r>
      <w:r w:rsidR="003931C9">
        <w:rPr>
          <w:color w:val="auto"/>
          <w:lang w:val="en-GB"/>
        </w:rPr>
        <w:t xml:space="preserve">central </w:t>
      </w:r>
      <w:r w:rsidR="0056723A" w:rsidRPr="004A56B2">
        <w:rPr>
          <w:color w:val="auto"/>
          <w:lang w:val="en-GB"/>
        </w:rPr>
        <w:t xml:space="preserve">venous catheter </w:t>
      </w:r>
      <w:r w:rsidRPr="004A56B2">
        <w:rPr>
          <w:color w:val="auto"/>
          <w:lang w:val="en-GB"/>
        </w:rPr>
        <w:t>related systemic blood infection</w:t>
      </w:r>
      <w:r w:rsidR="0056723A" w:rsidRPr="004A56B2">
        <w:rPr>
          <w:color w:val="auto"/>
          <w:lang w:val="en-GB"/>
        </w:rPr>
        <w:t>.</w:t>
      </w:r>
    </w:p>
    <w:p w14:paraId="610407C2" w14:textId="77777777" w:rsidR="006A60FE" w:rsidRPr="004A56B2" w:rsidRDefault="006A60FE" w:rsidP="006D4FB6">
      <w:pPr>
        <w:rPr>
          <w:color w:val="auto"/>
          <w:sz w:val="6"/>
          <w:szCs w:val="10"/>
          <w:lang w:val="en-GB"/>
        </w:rPr>
      </w:pPr>
    </w:p>
    <w:p w14:paraId="14E61F9A" w14:textId="77777777" w:rsidR="008B248B" w:rsidRPr="006B3363" w:rsidRDefault="008B248B" w:rsidP="006D4FB6">
      <w:pPr>
        <w:rPr>
          <w:color w:val="auto"/>
          <w:sz w:val="16"/>
          <w:lang w:val="en-GB"/>
        </w:rPr>
      </w:pPr>
    </w:p>
    <w:p w14:paraId="5B57258B" w14:textId="43D533DA" w:rsidR="006D4FB6" w:rsidRPr="004A56B2" w:rsidRDefault="003931C9" w:rsidP="006D4FB6">
      <w:pPr>
        <w:pStyle w:val="Heading3"/>
        <w:rPr>
          <w:color w:val="auto"/>
          <w:lang w:val="en-GB"/>
        </w:rPr>
      </w:pPr>
      <w:r>
        <w:rPr>
          <w:color w:val="auto"/>
          <w:lang w:val="en-GB"/>
        </w:rPr>
        <w:t>SHORT-TERM CENTRAL VENOUS CATHETER</w:t>
      </w:r>
      <w:r w:rsidR="00916887">
        <w:rPr>
          <w:color w:val="auto"/>
          <w:lang w:val="en-GB"/>
        </w:rPr>
        <w:t xml:space="preserve"> INFECTION</w:t>
      </w:r>
    </w:p>
    <w:p w14:paraId="722F80EF" w14:textId="77777777" w:rsidR="003931C9" w:rsidRDefault="003931C9" w:rsidP="003931C9">
      <w:pPr>
        <w:rPr>
          <w:color w:val="auto"/>
          <w:lang w:val="en-GB"/>
        </w:rPr>
      </w:pPr>
      <w:r w:rsidRPr="004A56B2">
        <w:rPr>
          <w:color w:val="auto"/>
          <w:lang w:val="en-GB"/>
        </w:rPr>
        <w:t>Microbiologic specimen</w:t>
      </w:r>
      <w:r>
        <w:rPr>
          <w:color w:val="auto"/>
          <w:lang w:val="en-GB"/>
        </w:rPr>
        <w:t>s</w:t>
      </w:r>
      <w:r w:rsidRPr="004A56B2">
        <w:rPr>
          <w:color w:val="auto"/>
          <w:lang w:val="en-GB"/>
        </w:rPr>
        <w:t>: peripheral blood culture, blood culture from central catheter prior to removal, and culture of the catheter tip.</w:t>
      </w:r>
    </w:p>
    <w:p w14:paraId="0335EAB6" w14:textId="15E394BF" w:rsidR="003931C9" w:rsidRDefault="003931C9" w:rsidP="006D4FB6">
      <w:pPr>
        <w:rPr>
          <w:bCs/>
          <w:color w:val="auto"/>
          <w:lang w:val="en-GB"/>
        </w:rPr>
      </w:pPr>
    </w:p>
    <w:p w14:paraId="56CE23AD" w14:textId="755F4496" w:rsidR="00400C79" w:rsidRDefault="00400C79" w:rsidP="006D4FB6">
      <w:pPr>
        <w:rPr>
          <w:bCs/>
          <w:iCs/>
          <w:color w:val="auto"/>
          <w:lang w:val="en-GB"/>
        </w:rPr>
      </w:pPr>
      <w:r>
        <w:rPr>
          <w:bCs/>
          <w:color w:val="auto"/>
          <w:lang w:val="en-GB"/>
        </w:rPr>
        <w:t xml:space="preserve">If peripheral blood culture negative but central catheter culture positive, monitor closely for signs of infection, and repeat peripheral blood cultures accordingly. If central line has grown </w:t>
      </w:r>
      <w:r>
        <w:rPr>
          <w:bCs/>
          <w:i/>
          <w:color w:val="auto"/>
          <w:lang w:val="en-GB"/>
        </w:rPr>
        <w:t>S. aureus</w:t>
      </w:r>
      <w:r>
        <w:rPr>
          <w:bCs/>
          <w:iCs/>
          <w:color w:val="auto"/>
          <w:lang w:val="en-GB"/>
        </w:rPr>
        <w:t xml:space="preserve">, 5-7 days of treatment is recommended (assuming peripheral blood cultures remain negative). </w:t>
      </w:r>
    </w:p>
    <w:p w14:paraId="1009B0EE" w14:textId="5ED541DF" w:rsidR="00400C79" w:rsidRDefault="00400C79" w:rsidP="006D4FB6">
      <w:pPr>
        <w:rPr>
          <w:bCs/>
          <w:iCs/>
          <w:color w:val="auto"/>
          <w:lang w:val="en-GB"/>
        </w:rPr>
      </w:pPr>
    </w:p>
    <w:p w14:paraId="7B2A678A" w14:textId="5D94D088" w:rsidR="00400C79" w:rsidRDefault="00400C79" w:rsidP="006D4FB6">
      <w:pPr>
        <w:rPr>
          <w:bCs/>
          <w:iCs/>
          <w:color w:val="auto"/>
          <w:lang w:val="en-GB"/>
        </w:rPr>
      </w:pPr>
      <w:r>
        <w:rPr>
          <w:bCs/>
          <w:iCs/>
          <w:color w:val="auto"/>
          <w:lang w:val="en-GB"/>
        </w:rPr>
        <w:t>If peripheral blood culture is positive, remove catheter, and treat with systemic antibiotics</w:t>
      </w:r>
      <w:r w:rsidR="0080481F">
        <w:rPr>
          <w:bCs/>
          <w:iCs/>
          <w:color w:val="auto"/>
          <w:lang w:val="en-GB"/>
        </w:rPr>
        <w:t>, guided by the culture results.</w:t>
      </w:r>
    </w:p>
    <w:p w14:paraId="3110CFAB" w14:textId="77777777" w:rsidR="0080481F" w:rsidRPr="001E52DC" w:rsidRDefault="0080481F" w:rsidP="006D4FB6">
      <w:pPr>
        <w:rPr>
          <w:bCs/>
          <w:iCs/>
          <w:color w:val="auto"/>
          <w:lang w:val="en-GB"/>
        </w:rPr>
      </w:pPr>
    </w:p>
    <w:p w14:paraId="22033418" w14:textId="77777777" w:rsidR="004A56B2" w:rsidRPr="004A56B2" w:rsidRDefault="006D4FB6" w:rsidP="006D4FB6">
      <w:pPr>
        <w:rPr>
          <w:color w:val="auto"/>
          <w:lang w:val="en-GB"/>
        </w:rPr>
      </w:pPr>
      <w:r w:rsidRPr="004A56B2">
        <w:rPr>
          <w:color w:val="auto"/>
          <w:lang w:val="en-GB"/>
        </w:rPr>
        <w:lastRenderedPageBreak/>
        <w:t xml:space="preserve">Duration of antibiotic therapy should generally be for 48–72 hours after resolution of fever </w:t>
      </w:r>
      <w:r w:rsidRPr="004A56B2">
        <w:rPr>
          <w:b/>
          <w:color w:val="auto"/>
          <w:lang w:val="en-GB"/>
        </w:rPr>
        <w:t>except</w:t>
      </w:r>
      <w:r w:rsidRPr="004A56B2">
        <w:rPr>
          <w:color w:val="auto"/>
          <w:lang w:val="en-GB"/>
        </w:rPr>
        <w:t xml:space="preserve"> for:</w:t>
      </w:r>
    </w:p>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
      </w:tblGrid>
      <w:tr w:rsidR="004A56B2" w:rsidRPr="004A56B2" w14:paraId="3A85D072" w14:textId="77777777" w:rsidTr="004A3639">
        <w:tc>
          <w:tcPr>
            <w:tcW w:w="1134" w:type="dxa"/>
            <w:shd w:val="clear" w:color="auto" w:fill="auto"/>
          </w:tcPr>
          <w:p w14:paraId="6FF2391C" w14:textId="47BE1594" w:rsidR="004A56B2" w:rsidRPr="004A56B2" w:rsidRDefault="004A56B2" w:rsidP="004A3639">
            <w:pPr>
              <w:jc w:val="right"/>
              <w:rPr>
                <w:b/>
                <w:i/>
                <w:color w:val="auto"/>
                <w:sz w:val="16"/>
              </w:rPr>
            </w:pPr>
            <w:proofErr w:type="spellStart"/>
            <w:r w:rsidRPr="004A56B2">
              <w:rPr>
                <w:i/>
                <w:color w:val="auto"/>
                <w:sz w:val="16"/>
              </w:rPr>
              <w:t>LoE:III</w:t>
            </w:r>
            <w:r w:rsidR="00DA6CD1">
              <w:rPr>
                <w:i/>
                <w:color w:val="auto"/>
                <w:sz w:val="16"/>
              </w:rPr>
              <w:t>b</w:t>
            </w:r>
            <w:proofErr w:type="spellEnd"/>
            <w:r w:rsidRPr="004A56B2">
              <w:rPr>
                <w:i/>
                <w:color w:val="auto"/>
                <w:sz w:val="16"/>
                <w:vertAlign w:val="superscript"/>
              </w:rPr>
              <w:endnoteReference w:id="3"/>
            </w:r>
          </w:p>
        </w:tc>
      </w:tr>
    </w:tbl>
    <w:p w14:paraId="3A9A8732" w14:textId="77777777" w:rsidR="006D4FB6" w:rsidRPr="004A56B2" w:rsidRDefault="006D4FB6" w:rsidP="006D4FB6">
      <w:pPr>
        <w:rPr>
          <w:color w:val="auto"/>
          <w:sz w:val="2"/>
          <w:lang w:val="en-GB"/>
        </w:rPr>
      </w:pPr>
    </w:p>
    <w:p w14:paraId="55416493" w14:textId="77777777" w:rsidR="006D4FB6" w:rsidRPr="004A56B2" w:rsidRDefault="006D4FB6" w:rsidP="006D4FB6">
      <w:pPr>
        <w:pStyle w:val="Textbullet"/>
        <w:rPr>
          <w:color w:val="auto"/>
          <w:lang w:val="en-GB"/>
        </w:rPr>
      </w:pPr>
      <w:r w:rsidRPr="004A56B2">
        <w:rPr>
          <w:color w:val="auto"/>
          <w:lang w:val="en-GB"/>
        </w:rPr>
        <w:t xml:space="preserve">confirmed </w:t>
      </w:r>
      <w:r w:rsidRPr="004A56B2">
        <w:rPr>
          <w:i/>
          <w:color w:val="auto"/>
          <w:lang w:val="en-GB"/>
        </w:rPr>
        <w:t>S. aureus</w:t>
      </w:r>
      <w:r w:rsidRPr="004A56B2">
        <w:rPr>
          <w:color w:val="auto"/>
          <w:lang w:val="en-GB"/>
        </w:rPr>
        <w:t xml:space="preserve"> infection</w:t>
      </w:r>
      <w:r w:rsidR="005D0EB5" w:rsidRPr="004A56B2">
        <w:rPr>
          <w:color w:val="auto"/>
          <w:lang w:val="en-GB"/>
        </w:rPr>
        <w:t>, and</w:t>
      </w:r>
    </w:p>
    <w:p w14:paraId="6D7F038C" w14:textId="77777777" w:rsidR="00BB5EA1" w:rsidRDefault="00A85058" w:rsidP="00B82057">
      <w:pPr>
        <w:pStyle w:val="Textbullet"/>
        <w:rPr>
          <w:color w:val="auto"/>
          <w:lang w:val="en-GB"/>
        </w:rPr>
      </w:pPr>
      <w:proofErr w:type="spellStart"/>
      <w:r w:rsidRPr="004A56B2">
        <w:rPr>
          <w:color w:val="auto"/>
          <w:lang w:val="en-GB"/>
        </w:rPr>
        <w:t>candida</w:t>
      </w:r>
      <w:r w:rsidR="00CB690F" w:rsidRPr="004A56B2">
        <w:rPr>
          <w:color w:val="auto"/>
          <w:lang w:val="en-GB"/>
        </w:rPr>
        <w:t>emia</w:t>
      </w:r>
      <w:proofErr w:type="spellEnd"/>
      <w:r w:rsidR="005D0EB5" w:rsidRPr="004A56B2">
        <w:rPr>
          <w:color w:val="auto"/>
          <w:lang w:val="en-GB"/>
        </w:rPr>
        <w:t xml:space="preserve">, </w:t>
      </w:r>
    </w:p>
    <w:p w14:paraId="7BF619A0" w14:textId="77777777" w:rsidR="00D024FB" w:rsidRPr="004A56B2" w:rsidRDefault="005D0EB5" w:rsidP="00D45733">
      <w:pPr>
        <w:pStyle w:val="Textbullet"/>
        <w:numPr>
          <w:ilvl w:val="0"/>
          <w:numId w:val="0"/>
        </w:numPr>
        <w:ind w:left="360"/>
        <w:rPr>
          <w:color w:val="auto"/>
          <w:lang w:val="en-GB"/>
        </w:rPr>
      </w:pPr>
      <w:r w:rsidRPr="004A56B2">
        <w:rPr>
          <w:color w:val="auto"/>
          <w:lang w:val="en-GB"/>
        </w:rPr>
        <w:t xml:space="preserve">where treatment should be continued for </w:t>
      </w:r>
      <w:r w:rsidR="00932ED3" w:rsidRPr="004A56B2">
        <w:rPr>
          <w:color w:val="auto"/>
          <w:lang w:val="en-GB"/>
        </w:rPr>
        <w:t>2 weeks</w:t>
      </w:r>
      <w:r w:rsidR="00162988" w:rsidRPr="004A56B2">
        <w:rPr>
          <w:color w:val="auto"/>
          <w:lang w:val="en-GB"/>
        </w:rPr>
        <w:t xml:space="preserve"> </w:t>
      </w:r>
      <w:r w:rsidRPr="004A56B2">
        <w:rPr>
          <w:color w:val="auto"/>
          <w:lang w:val="en-GB"/>
        </w:rPr>
        <w:t>after the</w:t>
      </w:r>
      <w:r w:rsidR="001B510E" w:rsidRPr="004A56B2">
        <w:rPr>
          <w:color w:val="auto"/>
          <w:lang w:val="en-GB"/>
        </w:rPr>
        <w:t xml:space="preserve"> 1</w:t>
      </w:r>
      <w:r w:rsidR="001B510E" w:rsidRPr="004A56B2">
        <w:rPr>
          <w:color w:val="auto"/>
          <w:vertAlign w:val="superscript"/>
          <w:lang w:val="en-GB"/>
        </w:rPr>
        <w:t>st</w:t>
      </w:r>
      <w:r w:rsidR="00162988" w:rsidRPr="004A56B2">
        <w:rPr>
          <w:color w:val="auto"/>
          <w:vertAlign w:val="superscript"/>
          <w:lang w:val="en-GB"/>
        </w:rPr>
        <w:t xml:space="preserve"> </w:t>
      </w:r>
      <w:r w:rsidR="001B510E" w:rsidRPr="004A56B2">
        <w:rPr>
          <w:color w:val="auto"/>
          <w:lang w:val="en-GB"/>
        </w:rPr>
        <w:t xml:space="preserve">negative </w:t>
      </w:r>
    </w:p>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
      </w:tblGrid>
      <w:tr w:rsidR="00D024FB" w:rsidRPr="004A56B2" w14:paraId="1DCC1870" w14:textId="77777777" w:rsidTr="00D024FB">
        <w:tc>
          <w:tcPr>
            <w:tcW w:w="1134" w:type="dxa"/>
            <w:shd w:val="clear" w:color="auto" w:fill="auto"/>
          </w:tcPr>
          <w:p w14:paraId="2B41FE78" w14:textId="3121CC90" w:rsidR="00D024FB" w:rsidRPr="004A56B2" w:rsidRDefault="00D024FB" w:rsidP="00D024FB">
            <w:pPr>
              <w:jc w:val="right"/>
              <w:rPr>
                <w:b/>
                <w:i/>
                <w:color w:val="auto"/>
                <w:sz w:val="16"/>
              </w:rPr>
            </w:pPr>
            <w:proofErr w:type="spellStart"/>
            <w:r w:rsidRPr="004A56B2">
              <w:rPr>
                <w:i/>
                <w:color w:val="auto"/>
                <w:sz w:val="16"/>
              </w:rPr>
              <w:t>LoE:III</w:t>
            </w:r>
            <w:r w:rsidR="00DA6CD1">
              <w:rPr>
                <w:i/>
                <w:color w:val="auto"/>
                <w:sz w:val="16"/>
              </w:rPr>
              <w:t>b</w:t>
            </w:r>
            <w:proofErr w:type="spellEnd"/>
            <w:r w:rsidRPr="004A56B2">
              <w:rPr>
                <w:i/>
                <w:color w:val="auto"/>
                <w:sz w:val="16"/>
                <w:vertAlign w:val="superscript"/>
              </w:rPr>
              <w:endnoteReference w:id="4"/>
            </w:r>
          </w:p>
        </w:tc>
      </w:tr>
    </w:tbl>
    <w:p w14:paraId="48BC4C52" w14:textId="2D28F4A9" w:rsidR="004A56B2" w:rsidRPr="004A56B2" w:rsidRDefault="00D024FB" w:rsidP="004F29EE">
      <w:pPr>
        <w:pStyle w:val="Textbullet"/>
        <w:numPr>
          <w:ilvl w:val="0"/>
          <w:numId w:val="0"/>
        </w:numPr>
        <w:ind w:left="284"/>
        <w:rPr>
          <w:color w:val="auto"/>
          <w:lang w:val="en-GB"/>
        </w:rPr>
      </w:pPr>
      <w:r w:rsidRPr="004A56B2">
        <w:rPr>
          <w:color w:val="auto"/>
          <w:lang w:val="en-GB"/>
        </w:rPr>
        <w:t xml:space="preserve"> </w:t>
      </w:r>
      <w:r w:rsidR="001B510E" w:rsidRPr="004A56B2">
        <w:rPr>
          <w:color w:val="auto"/>
          <w:lang w:val="en-GB"/>
        </w:rPr>
        <w:t>blood culture.</w:t>
      </w:r>
    </w:p>
    <w:p w14:paraId="0D5D3457" w14:textId="77777777" w:rsidR="00DF75EE" w:rsidRPr="00D024FB" w:rsidRDefault="00DF75EE" w:rsidP="004A56B2">
      <w:pPr>
        <w:pStyle w:val="Textbullet"/>
        <w:numPr>
          <w:ilvl w:val="0"/>
          <w:numId w:val="0"/>
        </w:numPr>
        <w:ind w:left="360"/>
        <w:rPr>
          <w:color w:val="auto"/>
          <w:sz w:val="6"/>
          <w:szCs w:val="6"/>
          <w:lang w:val="en-GB"/>
        </w:rPr>
      </w:pPr>
    </w:p>
    <w:p w14:paraId="6225BBFA" w14:textId="0E86AD98" w:rsidR="00FC610E" w:rsidRDefault="005D0EB5" w:rsidP="00D024FB">
      <w:pPr>
        <w:pStyle w:val="Textbullet"/>
        <w:widowControl w:val="0"/>
        <w:numPr>
          <w:ilvl w:val="0"/>
          <w:numId w:val="0"/>
        </w:numPr>
        <w:tabs>
          <w:tab w:val="left" w:pos="360"/>
        </w:tabs>
        <w:rPr>
          <w:color w:val="auto"/>
          <w:lang w:val="en-GB"/>
        </w:rPr>
      </w:pPr>
      <w:r w:rsidRPr="004A56B2">
        <w:rPr>
          <w:b/>
          <w:color w:val="auto"/>
          <w:lang w:val="en-GB"/>
        </w:rPr>
        <w:t>Note:</w:t>
      </w:r>
      <w:r w:rsidR="00D024FB">
        <w:rPr>
          <w:color w:val="auto"/>
          <w:lang w:val="en-GB"/>
        </w:rPr>
        <w:t xml:space="preserve"> </w:t>
      </w:r>
      <w:r w:rsidR="001E52DC" w:rsidRPr="004A56B2">
        <w:rPr>
          <w:color w:val="auto"/>
          <w:lang w:val="en-GB"/>
        </w:rPr>
        <w:t xml:space="preserve">For </w:t>
      </w:r>
      <w:proofErr w:type="spellStart"/>
      <w:r w:rsidR="001E52DC" w:rsidRPr="004A56B2">
        <w:rPr>
          <w:color w:val="auto"/>
          <w:lang w:val="en-GB"/>
        </w:rPr>
        <w:t>candidaemia</w:t>
      </w:r>
      <w:proofErr w:type="spellEnd"/>
      <w:r w:rsidRPr="004A56B2">
        <w:rPr>
          <w:color w:val="auto"/>
          <w:lang w:val="en-GB"/>
        </w:rPr>
        <w:t xml:space="preserve"> and </w:t>
      </w:r>
      <w:r w:rsidRPr="004A56B2">
        <w:rPr>
          <w:i/>
          <w:color w:val="auto"/>
          <w:lang w:val="en-GB"/>
        </w:rPr>
        <w:t>S</w:t>
      </w:r>
      <w:r w:rsidR="0005667B">
        <w:rPr>
          <w:i/>
          <w:color w:val="auto"/>
          <w:lang w:val="en-GB"/>
        </w:rPr>
        <w:t>.</w:t>
      </w:r>
      <w:r w:rsidRPr="004A56B2">
        <w:rPr>
          <w:i/>
          <w:color w:val="auto"/>
          <w:lang w:val="en-GB"/>
        </w:rPr>
        <w:t xml:space="preserve"> aureus</w:t>
      </w:r>
      <w:r w:rsidRPr="004A56B2">
        <w:rPr>
          <w:color w:val="auto"/>
          <w:lang w:val="en-GB"/>
        </w:rPr>
        <w:t xml:space="preserve"> infection, perform blood cultures</w:t>
      </w:r>
      <w:r w:rsidR="00BB5EA1">
        <w:rPr>
          <w:color w:val="auto"/>
          <w:lang w:val="en-GB"/>
        </w:rPr>
        <w:t xml:space="preserve"> </w:t>
      </w:r>
      <w:r w:rsidRPr="004A56B2">
        <w:rPr>
          <w:color w:val="auto"/>
          <w:lang w:val="en-GB"/>
        </w:rPr>
        <w:t>every 2-3 days after therapy has been initiated</w:t>
      </w:r>
      <w:r w:rsidR="00CB690F" w:rsidRPr="004A56B2">
        <w:rPr>
          <w:color w:val="auto"/>
          <w:lang w:val="en-GB"/>
        </w:rPr>
        <w:t xml:space="preserve"> until 2 consecutive cultures are negative</w:t>
      </w:r>
      <w:r w:rsidRPr="004A56B2">
        <w:rPr>
          <w:color w:val="auto"/>
          <w:lang w:val="en-GB"/>
        </w:rPr>
        <w:t>, and 2 weeks after the 1</w:t>
      </w:r>
      <w:r w:rsidRPr="004A56B2">
        <w:rPr>
          <w:color w:val="auto"/>
          <w:vertAlign w:val="superscript"/>
          <w:lang w:val="en-GB"/>
        </w:rPr>
        <w:t>st</w:t>
      </w:r>
      <w:r w:rsidRPr="004A56B2">
        <w:rPr>
          <w:color w:val="auto"/>
          <w:lang w:val="en-GB"/>
        </w:rPr>
        <w:t xml:space="preserve"> negative blood culture.</w:t>
      </w:r>
    </w:p>
    <w:p w14:paraId="0F990CC2" w14:textId="47264ABF" w:rsidR="0080481F" w:rsidRDefault="0080481F" w:rsidP="004A56B2">
      <w:pPr>
        <w:widowControl w:val="0"/>
        <w:rPr>
          <w:b/>
          <w:i/>
          <w:color w:val="auto"/>
          <w:lang w:val="en-GB"/>
        </w:rPr>
      </w:pPr>
    </w:p>
    <w:p w14:paraId="230E56F5" w14:textId="4C3E79CF" w:rsidR="0080481F" w:rsidRDefault="0080481F" w:rsidP="00CB4C32">
      <w:pPr>
        <w:rPr>
          <w:b/>
          <w:i/>
          <w:color w:val="auto"/>
          <w:lang w:val="en-GB"/>
        </w:rPr>
      </w:pPr>
      <w:r w:rsidRPr="004A56B2">
        <w:rPr>
          <w:b/>
          <w:color w:val="auto"/>
          <w:lang w:val="en-GB"/>
        </w:rPr>
        <w:t>Empiric antibiotic therapy</w:t>
      </w:r>
      <w:r>
        <w:rPr>
          <w:b/>
          <w:i/>
          <w:color w:val="auto"/>
          <w:lang w:val="en-GB"/>
        </w:rPr>
        <w:t xml:space="preserve"> (prior to obtaining susceptibility results):</w:t>
      </w:r>
    </w:p>
    <w:p w14:paraId="5CA95743" w14:textId="7E409B76" w:rsidR="00912708" w:rsidRPr="00A468AA" w:rsidRDefault="005B69C4" w:rsidP="004A56B2">
      <w:pPr>
        <w:widowControl w:val="0"/>
        <w:rPr>
          <w:color w:val="auto"/>
          <w:sz w:val="16"/>
          <w:szCs w:val="16"/>
          <w:lang w:val="en-GB"/>
        </w:rPr>
      </w:pPr>
      <w:r w:rsidRPr="004A56B2">
        <w:rPr>
          <w:b/>
          <w:i/>
          <w:color w:val="auto"/>
          <w:lang w:val="en-GB"/>
        </w:rPr>
        <w:t>S. aureus</w:t>
      </w:r>
      <w:r w:rsidRPr="004A56B2">
        <w:rPr>
          <w:b/>
          <w:color w:val="auto"/>
          <w:lang w:val="en-GB"/>
        </w:rPr>
        <w:t xml:space="preserve"> infection</w:t>
      </w:r>
      <w:r w:rsidR="00A468AA">
        <w:rPr>
          <w:b/>
          <w:color w:val="auto"/>
          <w:lang w:val="en-GB"/>
        </w:rPr>
        <w:t xml:space="preserve"> </w:t>
      </w:r>
      <w:r w:rsidR="00A468AA">
        <w:rPr>
          <w:color w:val="auto"/>
          <w:sz w:val="16"/>
          <w:lang w:val="en-GB"/>
        </w:rPr>
        <w:t>(B95.8/Y84.8)</w:t>
      </w:r>
    </w:p>
    <w:p w14:paraId="67857F54" w14:textId="4D6D9C86" w:rsidR="006800B3" w:rsidRDefault="006800B3" w:rsidP="006026A1">
      <w:pPr>
        <w:pStyle w:val="Medicinebullet1"/>
        <w:numPr>
          <w:ilvl w:val="0"/>
          <w:numId w:val="3"/>
        </w:numPr>
        <w:ind w:left="284" w:hanging="284"/>
        <w:rPr>
          <w:rFonts w:cs="Arial"/>
          <w:lang w:val="en-GB"/>
        </w:rPr>
      </w:pPr>
      <w:r>
        <w:rPr>
          <w:rFonts w:cs="Arial"/>
          <w:lang w:val="en-GB"/>
        </w:rPr>
        <w:t>V</w:t>
      </w:r>
      <w:r w:rsidR="00525C10" w:rsidRPr="004A56B2">
        <w:rPr>
          <w:rFonts w:cs="Arial"/>
          <w:lang w:val="en-GB"/>
        </w:rPr>
        <w:t>ancomycin</w:t>
      </w:r>
      <w:r w:rsidR="00465B4C" w:rsidRPr="004A56B2">
        <w:rPr>
          <w:rFonts w:cs="Arial"/>
          <w:lang w:val="en-GB"/>
        </w:rPr>
        <w:t xml:space="preserve">, IV, </w:t>
      </w:r>
      <w:r w:rsidR="00A17C82">
        <w:rPr>
          <w:rFonts w:cs="Arial"/>
          <w:lang w:val="en-GB"/>
        </w:rPr>
        <w:t>25</w:t>
      </w:r>
      <w:r w:rsidR="0042584C">
        <w:rPr>
          <w:rFonts w:cs="Arial"/>
          <w:lang w:val="en-GB"/>
        </w:rPr>
        <w:t>–</w:t>
      </w:r>
      <w:r w:rsidR="00465B4C" w:rsidRPr="004A56B2">
        <w:rPr>
          <w:rFonts w:cs="Arial"/>
          <w:lang w:val="en-GB"/>
        </w:rPr>
        <w:t>30 mg/kg</w:t>
      </w:r>
      <w:r>
        <w:rPr>
          <w:rFonts w:cs="Arial"/>
          <w:lang w:val="en-GB"/>
        </w:rPr>
        <w:t>, empirically</w:t>
      </w:r>
      <w:r w:rsidR="00465B4C" w:rsidRPr="004A56B2">
        <w:rPr>
          <w:rFonts w:cs="Arial"/>
          <w:lang w:val="en-GB"/>
        </w:rPr>
        <w:t xml:space="preserve"> as a loading dose. </w:t>
      </w:r>
    </w:p>
    <w:p w14:paraId="07729921" w14:textId="1B4769E1" w:rsidR="004C261E" w:rsidRPr="004A56B2" w:rsidRDefault="00465B4C" w:rsidP="006026A1">
      <w:pPr>
        <w:pStyle w:val="Medicinebullet1"/>
        <w:widowControl w:val="0"/>
        <w:numPr>
          <w:ilvl w:val="0"/>
          <w:numId w:val="8"/>
        </w:numPr>
        <w:ind w:left="567" w:hanging="283"/>
        <w:rPr>
          <w:rFonts w:cs="Arial"/>
          <w:lang w:val="en-GB"/>
        </w:rPr>
      </w:pPr>
      <w:r w:rsidRPr="004A56B2">
        <w:rPr>
          <w:rFonts w:cs="Arial"/>
          <w:lang w:val="en-GB"/>
        </w:rPr>
        <w:t xml:space="preserve">Follow with </w:t>
      </w:r>
      <w:r w:rsidR="00A17C82">
        <w:rPr>
          <w:rFonts w:cs="Arial"/>
          <w:lang w:val="en-GB"/>
        </w:rPr>
        <w:t>15</w:t>
      </w:r>
      <w:r w:rsidR="0042584C">
        <w:rPr>
          <w:rFonts w:cs="Arial"/>
          <w:lang w:val="en-GB"/>
        </w:rPr>
        <w:softHyphen/>
        <w:t>–</w:t>
      </w:r>
      <w:r w:rsidRPr="004A56B2">
        <w:rPr>
          <w:rFonts w:cs="Arial"/>
          <w:lang w:val="en-GB"/>
        </w:rPr>
        <w:t>20</w:t>
      </w:r>
      <w:r w:rsidR="004A56B2">
        <w:rPr>
          <w:rFonts w:cs="Arial"/>
          <w:lang w:val="en-GB"/>
        </w:rPr>
        <w:t xml:space="preserve"> </w:t>
      </w:r>
      <w:r w:rsidRPr="004A56B2">
        <w:rPr>
          <w:rFonts w:cs="Arial"/>
          <w:lang w:val="en-GB"/>
        </w:rPr>
        <w:t>mg/kg/dose 12 hourly</w:t>
      </w:r>
      <w:r w:rsidR="0029577C" w:rsidRPr="004A56B2">
        <w:rPr>
          <w:rFonts w:cs="Arial"/>
          <w:lang w:val="en-GB"/>
        </w:rPr>
        <w:t xml:space="preserve">. (See </w:t>
      </w:r>
      <w:r w:rsidR="00485AB9" w:rsidRPr="004A56B2">
        <w:rPr>
          <w:rFonts w:cs="Arial"/>
          <w:lang w:val="en-GB"/>
        </w:rPr>
        <w:t>Appendix I</w:t>
      </w:r>
      <w:r w:rsidR="00C20D60" w:rsidRPr="004A56B2">
        <w:rPr>
          <w:rFonts w:cs="Arial"/>
          <w:lang w:val="en-GB"/>
        </w:rPr>
        <w:t>I</w:t>
      </w:r>
      <w:r w:rsidR="006B3363">
        <w:rPr>
          <w:rFonts w:cs="Arial"/>
          <w:lang w:val="en-GB"/>
        </w:rPr>
        <w:t xml:space="preserve"> </w:t>
      </w:r>
      <w:r w:rsidR="0029577C" w:rsidRPr="004A56B2">
        <w:rPr>
          <w:rFonts w:cs="Arial"/>
          <w:lang w:val="en-GB"/>
        </w:rPr>
        <w:t xml:space="preserve">for </w:t>
      </w:r>
      <w:r w:rsidR="00485AB9" w:rsidRPr="004A56B2">
        <w:rPr>
          <w:rFonts w:cs="Arial"/>
          <w:lang w:val="en-GB"/>
        </w:rPr>
        <w:t xml:space="preserve">guidance on </w:t>
      </w:r>
      <w:r w:rsidR="0029577C" w:rsidRPr="004A56B2">
        <w:rPr>
          <w:rFonts w:cs="Arial"/>
          <w:lang w:val="en-GB"/>
        </w:rPr>
        <w:t xml:space="preserve">prescribing and </w:t>
      </w:r>
      <w:r w:rsidR="00C126B9">
        <w:rPr>
          <w:rFonts w:cs="Arial"/>
          <w:lang w:val="en-GB"/>
        </w:rPr>
        <w:t xml:space="preserve">therapeutic drug </w:t>
      </w:r>
      <w:r w:rsidR="0029577C" w:rsidRPr="004A56B2">
        <w:rPr>
          <w:rFonts w:cs="Arial"/>
          <w:lang w:val="en-GB"/>
        </w:rPr>
        <w:t>monitoring).</w:t>
      </w:r>
    </w:p>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
      </w:tblGrid>
      <w:tr w:rsidR="004C261E" w:rsidRPr="006026A1" w14:paraId="28A747E8" w14:textId="77777777" w:rsidTr="004F4BD4">
        <w:tc>
          <w:tcPr>
            <w:tcW w:w="1134" w:type="dxa"/>
            <w:shd w:val="clear" w:color="auto" w:fill="auto"/>
          </w:tcPr>
          <w:p w14:paraId="526931C6" w14:textId="205B73FD" w:rsidR="004C261E" w:rsidRPr="006026A1" w:rsidRDefault="004C261E" w:rsidP="006026A1">
            <w:pPr>
              <w:widowControl w:val="0"/>
              <w:ind w:left="567" w:hanging="283"/>
              <w:jc w:val="right"/>
              <w:rPr>
                <w:b/>
                <w:i/>
                <w:color w:val="auto"/>
                <w:sz w:val="16"/>
              </w:rPr>
            </w:pPr>
            <w:proofErr w:type="spellStart"/>
            <w:r w:rsidRPr="006026A1">
              <w:rPr>
                <w:i/>
                <w:color w:val="auto"/>
                <w:sz w:val="16"/>
              </w:rPr>
              <w:t>LoE:II</w:t>
            </w:r>
            <w:r w:rsidR="000059C5">
              <w:rPr>
                <w:i/>
                <w:color w:val="auto"/>
                <w:sz w:val="16"/>
              </w:rPr>
              <w:t>I</w:t>
            </w:r>
            <w:r w:rsidR="00DA6CD1">
              <w:rPr>
                <w:i/>
                <w:color w:val="auto"/>
                <w:sz w:val="16"/>
              </w:rPr>
              <w:t>a</w:t>
            </w:r>
            <w:proofErr w:type="spellEnd"/>
            <w:r w:rsidRPr="006026A1">
              <w:rPr>
                <w:i/>
                <w:color w:val="auto"/>
                <w:sz w:val="16"/>
                <w:vertAlign w:val="superscript"/>
              </w:rPr>
              <w:endnoteReference w:id="5"/>
            </w:r>
          </w:p>
        </w:tc>
      </w:tr>
    </w:tbl>
    <w:p w14:paraId="347E53FE" w14:textId="77777777" w:rsidR="00465B4C" w:rsidRPr="004A56B2" w:rsidRDefault="00465B4C" w:rsidP="006026A1">
      <w:pPr>
        <w:pStyle w:val="Medicinebullet1"/>
        <w:widowControl w:val="0"/>
        <w:ind w:left="567" w:hanging="283"/>
        <w:rPr>
          <w:rFonts w:cs="Arial"/>
          <w:sz w:val="2"/>
          <w:lang w:val="en-GB"/>
        </w:rPr>
      </w:pPr>
    </w:p>
    <w:p w14:paraId="6D690067" w14:textId="77777777" w:rsidR="00950521" w:rsidRPr="004A56B2" w:rsidRDefault="00767B35" w:rsidP="006026A1">
      <w:pPr>
        <w:pStyle w:val="Medicinebullet1"/>
        <w:widowControl w:val="0"/>
        <w:numPr>
          <w:ilvl w:val="0"/>
          <w:numId w:val="8"/>
        </w:numPr>
        <w:ind w:left="567" w:hanging="283"/>
        <w:rPr>
          <w:rFonts w:cs="Arial"/>
          <w:lang w:val="en-GB"/>
        </w:rPr>
      </w:pPr>
      <w:r w:rsidRPr="004A56B2">
        <w:rPr>
          <w:rFonts w:cs="Arial"/>
          <w:lang w:val="en-GB"/>
        </w:rPr>
        <w:t>Tailor therapy to drug-susceptibility results</w:t>
      </w:r>
      <w:r w:rsidR="005D0EB5" w:rsidRPr="004A56B2">
        <w:rPr>
          <w:rFonts w:cs="Arial"/>
          <w:lang w:val="en-GB"/>
        </w:rPr>
        <w:t>.</w:t>
      </w:r>
    </w:p>
    <w:p w14:paraId="7041540B" w14:textId="77777777" w:rsidR="008D4E19" w:rsidRPr="006026A1" w:rsidRDefault="008D4E19" w:rsidP="002225B7">
      <w:pPr>
        <w:pStyle w:val="Medicinebullet1"/>
        <w:rPr>
          <w:rFonts w:cs="Arial"/>
          <w:sz w:val="14"/>
          <w:lang w:val="en-GB"/>
        </w:rPr>
      </w:pPr>
    </w:p>
    <w:p w14:paraId="1542281A" w14:textId="77777777" w:rsidR="006D4FB6" w:rsidRPr="00A468AA" w:rsidRDefault="006D4FB6" w:rsidP="006D4FB6">
      <w:pPr>
        <w:rPr>
          <w:sz w:val="16"/>
          <w:lang w:val="en-GB"/>
        </w:rPr>
      </w:pPr>
      <w:proofErr w:type="spellStart"/>
      <w:r w:rsidRPr="00802C75">
        <w:rPr>
          <w:b/>
          <w:lang w:val="en-GB"/>
        </w:rPr>
        <w:t>Candidaemia</w:t>
      </w:r>
      <w:proofErr w:type="spellEnd"/>
      <w:r w:rsidR="00A468AA">
        <w:rPr>
          <w:b/>
          <w:lang w:val="en-GB"/>
        </w:rPr>
        <w:t xml:space="preserve"> </w:t>
      </w:r>
      <w:r w:rsidR="00A468AA">
        <w:rPr>
          <w:sz w:val="16"/>
          <w:lang w:val="en-GB"/>
        </w:rPr>
        <w:t>(B37.8/Y84.8)</w:t>
      </w:r>
    </w:p>
    <w:p w14:paraId="26093BE6" w14:textId="3D9C9767" w:rsidR="00034EDF" w:rsidRDefault="00034EDF" w:rsidP="00034EDF">
      <w:pPr>
        <w:rPr>
          <w:spacing w:val="-4"/>
          <w:lang w:val="en-GB"/>
        </w:rPr>
      </w:pPr>
      <w:r w:rsidRPr="00234210">
        <w:rPr>
          <w:b/>
          <w:spacing w:val="-4"/>
          <w:lang w:val="en-GB"/>
        </w:rPr>
        <w:t xml:space="preserve">Note: </w:t>
      </w:r>
      <w:r w:rsidRPr="00234210">
        <w:rPr>
          <w:spacing w:val="-4"/>
          <w:lang w:val="en-GB"/>
        </w:rPr>
        <w:t xml:space="preserve">Candida isolated from blood culture should </w:t>
      </w:r>
      <w:r w:rsidRPr="00234210">
        <w:rPr>
          <w:b/>
          <w:spacing w:val="-4"/>
          <w:lang w:val="en-GB"/>
        </w:rPr>
        <w:t>always</w:t>
      </w:r>
      <w:r w:rsidRPr="00234210">
        <w:rPr>
          <w:spacing w:val="-4"/>
          <w:lang w:val="en-GB"/>
        </w:rPr>
        <w:t xml:space="preserve"> be treated, even if the fever has settled after line removal</w:t>
      </w:r>
      <w:r w:rsidR="00CB690F" w:rsidRPr="00234210">
        <w:rPr>
          <w:spacing w:val="-4"/>
          <w:lang w:val="en-GB"/>
        </w:rPr>
        <w:t xml:space="preserve"> because of a high risk of late complications</w:t>
      </w:r>
      <w:r w:rsidRPr="00234210">
        <w:rPr>
          <w:spacing w:val="-4"/>
          <w:lang w:val="en-GB"/>
        </w:rPr>
        <w:t>.</w:t>
      </w:r>
    </w:p>
    <w:p w14:paraId="5AB8422E" w14:textId="513D59ED" w:rsidR="002E1765" w:rsidRPr="00234210" w:rsidRDefault="002E1765" w:rsidP="00034EDF">
      <w:pPr>
        <w:rPr>
          <w:spacing w:val="-4"/>
          <w:lang w:val="en-GB"/>
        </w:rPr>
      </w:pPr>
      <w:proofErr w:type="spellStart"/>
      <w:r>
        <w:rPr>
          <w:spacing w:val="-4"/>
          <w:lang w:val="en-GB"/>
        </w:rPr>
        <w:t>Candidaemia</w:t>
      </w:r>
      <w:proofErr w:type="spellEnd"/>
      <w:r>
        <w:rPr>
          <w:spacing w:val="-4"/>
          <w:lang w:val="en-GB"/>
        </w:rPr>
        <w:t xml:space="preserve"> </w:t>
      </w:r>
      <w:r w:rsidR="00F128CA">
        <w:rPr>
          <w:spacing w:val="-4"/>
          <w:lang w:val="en-GB"/>
        </w:rPr>
        <w:t xml:space="preserve">with species other than </w:t>
      </w:r>
      <w:r w:rsidR="00F128CA" w:rsidRPr="00453E32">
        <w:rPr>
          <w:i/>
          <w:iCs/>
          <w:spacing w:val="-4"/>
          <w:lang w:val="en-GB"/>
        </w:rPr>
        <w:t>C</w:t>
      </w:r>
      <w:r w:rsidR="00456DC3">
        <w:rPr>
          <w:i/>
          <w:iCs/>
          <w:spacing w:val="-4"/>
          <w:lang w:val="en-GB"/>
        </w:rPr>
        <w:t>andida</w:t>
      </w:r>
      <w:r w:rsidR="00F128CA" w:rsidRPr="00453E32">
        <w:rPr>
          <w:i/>
          <w:iCs/>
          <w:spacing w:val="-4"/>
          <w:lang w:val="en-GB"/>
        </w:rPr>
        <w:t xml:space="preserve"> albicans</w:t>
      </w:r>
      <w:r w:rsidR="00F128CA">
        <w:rPr>
          <w:spacing w:val="-4"/>
          <w:lang w:val="en-GB"/>
        </w:rPr>
        <w:t xml:space="preserve"> is becoming increasingly common </w:t>
      </w:r>
      <w:r w:rsidR="00E5363C">
        <w:rPr>
          <w:spacing w:val="-4"/>
          <w:lang w:val="en-GB"/>
        </w:rPr>
        <w:t>–</w:t>
      </w:r>
      <w:r w:rsidR="00F128CA">
        <w:rPr>
          <w:spacing w:val="-4"/>
          <w:lang w:val="en-GB"/>
        </w:rPr>
        <w:t xml:space="preserve"> </w:t>
      </w:r>
      <w:r w:rsidR="00E5363C">
        <w:rPr>
          <w:spacing w:val="-4"/>
          <w:lang w:val="en-GB"/>
        </w:rPr>
        <w:t>these species are often resistant to azoles.</w:t>
      </w:r>
    </w:p>
    <w:p w14:paraId="4B4BA0D9" w14:textId="77777777" w:rsidR="00034EDF" w:rsidRPr="006026A1" w:rsidRDefault="00034EDF" w:rsidP="00034EDF">
      <w:pPr>
        <w:rPr>
          <w:sz w:val="10"/>
          <w:lang w:val="en-GB"/>
        </w:rPr>
      </w:pPr>
    </w:p>
    <w:p w14:paraId="2F668AD0" w14:textId="77777777" w:rsidR="004C261E" w:rsidRPr="004F4BD4" w:rsidRDefault="006D4FB6" w:rsidP="006D4FB6">
      <w:pPr>
        <w:rPr>
          <w:u w:val="single"/>
          <w:lang w:val="en-GB"/>
        </w:rPr>
      </w:pPr>
      <w:r w:rsidRPr="004F4BD4">
        <w:rPr>
          <w:u w:val="single"/>
          <w:lang w:val="en-GB"/>
        </w:rPr>
        <w:t xml:space="preserve">Treatment duration should be 2 </w:t>
      </w:r>
      <w:r w:rsidR="005B69C4" w:rsidRPr="004F4BD4">
        <w:rPr>
          <w:u w:val="single"/>
          <w:lang w:val="en-GB"/>
        </w:rPr>
        <w:t>w</w:t>
      </w:r>
      <w:r w:rsidRPr="004F4BD4">
        <w:rPr>
          <w:u w:val="single"/>
          <w:lang w:val="en-GB"/>
        </w:rPr>
        <w:t>eeks</w:t>
      </w:r>
      <w:r w:rsidR="00A85058" w:rsidRPr="004F4BD4">
        <w:rPr>
          <w:u w:val="single"/>
          <w:lang w:val="en-GB"/>
        </w:rPr>
        <w:t xml:space="preserve"> after 1</w:t>
      </w:r>
      <w:r w:rsidR="00A85058" w:rsidRPr="004F4BD4">
        <w:rPr>
          <w:u w:val="single"/>
          <w:vertAlign w:val="superscript"/>
          <w:lang w:val="en-GB"/>
        </w:rPr>
        <w:t>st</w:t>
      </w:r>
      <w:r w:rsidR="00A85058" w:rsidRPr="004F4BD4">
        <w:rPr>
          <w:u w:val="single"/>
          <w:lang w:val="en-GB"/>
        </w:rPr>
        <w:t xml:space="preserve"> negative blood culture:</w:t>
      </w:r>
    </w:p>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
      </w:tblGrid>
      <w:tr w:rsidR="004C261E" w:rsidRPr="006026A1" w14:paraId="5FB60035" w14:textId="77777777" w:rsidTr="004F4BD4">
        <w:tc>
          <w:tcPr>
            <w:tcW w:w="1134" w:type="dxa"/>
            <w:shd w:val="clear" w:color="auto" w:fill="auto"/>
          </w:tcPr>
          <w:p w14:paraId="0BE80935" w14:textId="68DE4317" w:rsidR="004C261E" w:rsidRPr="006026A1" w:rsidRDefault="004C261E" w:rsidP="004F4BD4">
            <w:pPr>
              <w:jc w:val="right"/>
              <w:rPr>
                <w:b/>
                <w:i/>
                <w:sz w:val="16"/>
              </w:rPr>
            </w:pPr>
            <w:proofErr w:type="spellStart"/>
            <w:r w:rsidRPr="006026A1">
              <w:rPr>
                <w:i/>
                <w:sz w:val="16"/>
              </w:rPr>
              <w:t>LoE:II</w:t>
            </w:r>
            <w:r w:rsidR="000059C5">
              <w:rPr>
                <w:i/>
                <w:sz w:val="16"/>
              </w:rPr>
              <w:t>a</w:t>
            </w:r>
            <w:proofErr w:type="spellEnd"/>
            <w:r w:rsidRPr="006026A1">
              <w:rPr>
                <w:i/>
                <w:sz w:val="16"/>
                <w:vertAlign w:val="superscript"/>
              </w:rPr>
              <w:endnoteReference w:id="6"/>
            </w:r>
          </w:p>
        </w:tc>
      </w:tr>
    </w:tbl>
    <w:p w14:paraId="6432D5CE" w14:textId="77777777" w:rsidR="006D4FB6" w:rsidRPr="004C261E" w:rsidRDefault="006D4FB6" w:rsidP="006D4FB6">
      <w:pPr>
        <w:rPr>
          <w:sz w:val="2"/>
          <w:lang w:val="en-GB"/>
        </w:rPr>
      </w:pPr>
    </w:p>
    <w:p w14:paraId="0D4136E7" w14:textId="77777777" w:rsidR="006D4FB6" w:rsidRPr="00802C75" w:rsidRDefault="006D4FB6" w:rsidP="00234210">
      <w:pPr>
        <w:pStyle w:val="Medicinebullet1"/>
        <w:numPr>
          <w:ilvl w:val="0"/>
          <w:numId w:val="3"/>
        </w:numPr>
        <w:ind w:left="284" w:hanging="284"/>
        <w:rPr>
          <w:rFonts w:cs="Arial"/>
          <w:lang w:val="en-GB"/>
        </w:rPr>
      </w:pPr>
      <w:r w:rsidRPr="00802C75">
        <w:rPr>
          <w:rFonts w:cs="Arial"/>
          <w:lang w:val="en-GB"/>
        </w:rPr>
        <w:t xml:space="preserve">Amphotericin B, IV, 0.7 mg/kg daily. </w:t>
      </w:r>
    </w:p>
    <w:p w14:paraId="19E3E116" w14:textId="77777777" w:rsidR="00950521" w:rsidRDefault="006D4FB6" w:rsidP="00234210">
      <w:pPr>
        <w:pStyle w:val="Medicinebullet1"/>
        <w:numPr>
          <w:ilvl w:val="0"/>
          <w:numId w:val="8"/>
        </w:numPr>
        <w:ind w:left="567" w:hanging="283"/>
        <w:rPr>
          <w:rFonts w:cs="Arial"/>
          <w:lang w:val="en-GB"/>
        </w:rPr>
      </w:pPr>
      <w:r w:rsidRPr="00802C75">
        <w:rPr>
          <w:rFonts w:cs="Arial"/>
          <w:lang w:val="en-GB"/>
        </w:rPr>
        <w:t xml:space="preserve">Ensure adequate hydration to minimise nephrotoxicity. </w:t>
      </w:r>
      <w:r w:rsidR="0056723A" w:rsidRPr="00802C75">
        <w:rPr>
          <w:rFonts w:cs="Arial"/>
          <w:lang w:val="en-GB"/>
        </w:rPr>
        <w:t xml:space="preserve">(See </w:t>
      </w:r>
      <w:r w:rsidR="00485AB9">
        <w:rPr>
          <w:rFonts w:cs="Arial"/>
          <w:lang w:val="en-GB"/>
        </w:rPr>
        <w:t>Appendix I</w:t>
      </w:r>
      <w:r w:rsidR="00C20D60">
        <w:rPr>
          <w:rFonts w:cs="Arial"/>
          <w:lang w:val="en-GB"/>
        </w:rPr>
        <w:t>I</w:t>
      </w:r>
      <w:r w:rsidR="006B3363">
        <w:rPr>
          <w:rFonts w:cs="Arial"/>
          <w:lang w:val="en-GB"/>
        </w:rPr>
        <w:t xml:space="preserve"> </w:t>
      </w:r>
      <w:r w:rsidR="0056723A" w:rsidRPr="00802C75">
        <w:rPr>
          <w:rFonts w:cs="Arial"/>
          <w:lang w:val="en-GB"/>
        </w:rPr>
        <w:t xml:space="preserve">for </w:t>
      </w:r>
      <w:r w:rsidR="00F832FA" w:rsidRPr="00802C75">
        <w:rPr>
          <w:rFonts w:cs="Arial"/>
          <w:lang w:val="en-GB"/>
        </w:rPr>
        <w:t xml:space="preserve">preventing, </w:t>
      </w:r>
      <w:r w:rsidR="0056723A" w:rsidRPr="00802C75">
        <w:rPr>
          <w:rFonts w:cs="Arial"/>
          <w:lang w:val="en-GB"/>
        </w:rPr>
        <w:t>monitoring</w:t>
      </w:r>
      <w:r w:rsidR="00F832FA" w:rsidRPr="00802C75">
        <w:rPr>
          <w:rFonts w:cs="Arial"/>
          <w:lang w:val="en-GB"/>
        </w:rPr>
        <w:t xml:space="preserve"> and </w:t>
      </w:r>
    </w:p>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
      </w:tblGrid>
      <w:tr w:rsidR="004F4BD4" w:rsidRPr="000059C5" w14:paraId="405B130F" w14:textId="77777777" w:rsidTr="004F4BD4">
        <w:tc>
          <w:tcPr>
            <w:tcW w:w="1134" w:type="dxa"/>
            <w:shd w:val="clear" w:color="auto" w:fill="auto"/>
          </w:tcPr>
          <w:p w14:paraId="563EC010" w14:textId="7EC26142" w:rsidR="004F4BD4" w:rsidRPr="00661240" w:rsidRDefault="004F4BD4" w:rsidP="00234210">
            <w:pPr>
              <w:ind w:left="567" w:hanging="283"/>
              <w:jc w:val="right"/>
              <w:rPr>
                <w:b/>
                <w:i/>
                <w:sz w:val="16"/>
                <w:szCs w:val="16"/>
              </w:rPr>
            </w:pPr>
            <w:proofErr w:type="spellStart"/>
            <w:r w:rsidRPr="00661240">
              <w:rPr>
                <w:i/>
                <w:sz w:val="16"/>
                <w:szCs w:val="16"/>
              </w:rPr>
              <w:t>LoE:I</w:t>
            </w:r>
            <w:r w:rsidR="00DA6CD1" w:rsidRPr="00661240">
              <w:rPr>
                <w:i/>
                <w:sz w:val="16"/>
                <w:szCs w:val="16"/>
              </w:rPr>
              <w:t>a</w:t>
            </w:r>
            <w:proofErr w:type="spellEnd"/>
            <w:r w:rsidRPr="00661240">
              <w:rPr>
                <w:i/>
                <w:sz w:val="16"/>
                <w:szCs w:val="16"/>
                <w:vertAlign w:val="superscript"/>
              </w:rPr>
              <w:endnoteReference w:id="7"/>
            </w:r>
          </w:p>
        </w:tc>
      </w:tr>
    </w:tbl>
    <w:p w14:paraId="00F6F9D9" w14:textId="77777777" w:rsidR="004F4BD4" w:rsidRDefault="006B3363" w:rsidP="00234210">
      <w:pPr>
        <w:pStyle w:val="Medicinebullet1"/>
        <w:ind w:left="567" w:hanging="283"/>
        <w:rPr>
          <w:rFonts w:cs="Arial"/>
          <w:lang w:val="en-GB"/>
        </w:rPr>
      </w:pPr>
      <w:r>
        <w:rPr>
          <w:rFonts w:cs="Arial"/>
          <w:lang w:val="en-GB"/>
        </w:rPr>
        <w:tab/>
      </w:r>
      <w:r w:rsidR="00F832FA" w:rsidRPr="00802C75">
        <w:rPr>
          <w:rFonts w:cs="Arial"/>
          <w:lang w:val="en-GB"/>
        </w:rPr>
        <w:t>management of toxicity</w:t>
      </w:r>
      <w:r w:rsidR="0056723A" w:rsidRPr="00802C75">
        <w:rPr>
          <w:rFonts w:cs="Arial"/>
          <w:lang w:val="en-GB"/>
        </w:rPr>
        <w:t>).</w:t>
      </w:r>
    </w:p>
    <w:p w14:paraId="4679ABD5" w14:textId="7DB1417E" w:rsidR="00313688" w:rsidRPr="00313688" w:rsidRDefault="00313688" w:rsidP="004F4BD4">
      <w:pPr>
        <w:pStyle w:val="Medicinebullet1"/>
        <w:ind w:left="360"/>
        <w:rPr>
          <w:rFonts w:cs="Arial"/>
          <w:lang w:val="en-GB"/>
        </w:rPr>
      </w:pPr>
    </w:p>
    <w:p w14:paraId="5A19B562" w14:textId="77777777" w:rsidR="00313688" w:rsidRPr="00313688" w:rsidRDefault="008B248B" w:rsidP="006D4FB6">
      <w:pPr>
        <w:rPr>
          <w:lang w:val="en-GB"/>
        </w:rPr>
      </w:pPr>
      <w:r w:rsidRPr="00313688">
        <w:rPr>
          <w:u w:val="single"/>
          <w:lang w:val="en-GB"/>
        </w:rPr>
        <w:t>Follow up susceptibility</w:t>
      </w:r>
      <w:r w:rsidR="00313688" w:rsidRPr="00313688">
        <w:rPr>
          <w:lang w:val="en-GB"/>
        </w:rPr>
        <w:t>:</w:t>
      </w:r>
    </w:p>
    <w:p w14:paraId="1088D662" w14:textId="3B068BF5" w:rsidR="00B00365" w:rsidRPr="00313688" w:rsidRDefault="005B69C4" w:rsidP="001E52DC">
      <w:pPr>
        <w:pStyle w:val="ListParagraph"/>
        <w:ind w:left="142"/>
        <w:rPr>
          <w:rFonts w:ascii="Arial" w:hAnsi="Arial" w:cs="Arial"/>
          <w:sz w:val="18"/>
          <w:szCs w:val="18"/>
        </w:rPr>
      </w:pPr>
      <w:r w:rsidRPr="00313688">
        <w:rPr>
          <w:rFonts w:ascii="Arial" w:hAnsi="Arial" w:cs="Arial"/>
          <w:sz w:val="18"/>
          <w:szCs w:val="18"/>
        </w:rPr>
        <w:t xml:space="preserve">Once improved, </w:t>
      </w:r>
      <w:r w:rsidR="009C61F4" w:rsidRPr="00313688">
        <w:rPr>
          <w:rFonts w:ascii="Arial" w:hAnsi="Arial" w:cs="Arial"/>
          <w:sz w:val="18"/>
          <w:szCs w:val="18"/>
        </w:rPr>
        <w:t>if sensitive</w:t>
      </w:r>
      <w:r w:rsidR="00B00365" w:rsidRPr="00313688">
        <w:rPr>
          <w:rFonts w:ascii="Arial" w:hAnsi="Arial" w:cs="Arial"/>
          <w:sz w:val="18"/>
          <w:szCs w:val="18"/>
        </w:rPr>
        <w:t xml:space="preserve"> </w:t>
      </w:r>
      <w:r w:rsidRPr="00313688">
        <w:rPr>
          <w:rFonts w:ascii="Arial" w:hAnsi="Arial" w:cs="Arial"/>
          <w:sz w:val="18"/>
          <w:szCs w:val="18"/>
        </w:rPr>
        <w:t>complete</w:t>
      </w:r>
      <w:r w:rsidR="00B00365" w:rsidRPr="00313688">
        <w:rPr>
          <w:rFonts w:ascii="Arial" w:hAnsi="Arial" w:cs="Arial"/>
          <w:sz w:val="18"/>
          <w:szCs w:val="18"/>
        </w:rPr>
        <w:t xml:space="preserve"> </w:t>
      </w:r>
      <w:r w:rsidRPr="00313688">
        <w:rPr>
          <w:rFonts w:ascii="Arial" w:hAnsi="Arial" w:cs="Arial"/>
          <w:sz w:val="18"/>
          <w:szCs w:val="18"/>
        </w:rPr>
        <w:t>course with:</w:t>
      </w:r>
    </w:p>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
      </w:tblGrid>
      <w:tr w:rsidR="00313688" w:rsidRPr="006026A1" w14:paraId="4EED9692" w14:textId="77777777" w:rsidTr="004415C6">
        <w:tc>
          <w:tcPr>
            <w:tcW w:w="1134" w:type="dxa"/>
            <w:shd w:val="clear" w:color="auto" w:fill="auto"/>
          </w:tcPr>
          <w:p w14:paraId="708239BA" w14:textId="134D5901" w:rsidR="00313688" w:rsidRPr="006026A1" w:rsidRDefault="00313688" w:rsidP="004415C6">
            <w:pPr>
              <w:jc w:val="right"/>
              <w:rPr>
                <w:b/>
                <w:i/>
                <w:sz w:val="16"/>
              </w:rPr>
            </w:pPr>
            <w:proofErr w:type="spellStart"/>
            <w:r w:rsidRPr="006026A1">
              <w:rPr>
                <w:i/>
                <w:sz w:val="16"/>
              </w:rPr>
              <w:t>LoE:II</w:t>
            </w:r>
            <w:r w:rsidR="000059C5">
              <w:rPr>
                <w:i/>
                <w:sz w:val="16"/>
              </w:rPr>
              <w:t>a</w:t>
            </w:r>
            <w:proofErr w:type="spellEnd"/>
            <w:r w:rsidRPr="006026A1">
              <w:rPr>
                <w:i/>
                <w:sz w:val="16"/>
                <w:vertAlign w:val="superscript"/>
              </w:rPr>
              <w:endnoteReference w:id="8"/>
            </w:r>
          </w:p>
        </w:tc>
      </w:tr>
    </w:tbl>
    <w:p w14:paraId="6C95271B" w14:textId="5546EF67" w:rsidR="004F4BD4" w:rsidRPr="00313688" w:rsidRDefault="00313688" w:rsidP="00313688">
      <w:pPr>
        <w:pStyle w:val="Medicinebullet1"/>
        <w:numPr>
          <w:ilvl w:val="0"/>
          <w:numId w:val="3"/>
        </w:numPr>
        <w:ind w:left="284" w:hanging="284"/>
        <w:rPr>
          <w:rFonts w:cs="Arial"/>
          <w:lang w:val="en-GB"/>
        </w:rPr>
      </w:pPr>
      <w:r w:rsidRPr="00313688">
        <w:rPr>
          <w:rFonts w:cs="Arial"/>
          <w:lang w:val="en-GB"/>
        </w:rPr>
        <w:t xml:space="preserve"> </w:t>
      </w:r>
      <w:r w:rsidR="006D4FB6" w:rsidRPr="00313688">
        <w:rPr>
          <w:rFonts w:cs="Arial"/>
          <w:lang w:val="en-GB"/>
        </w:rPr>
        <w:t xml:space="preserve">Fluconazole, oral, </w:t>
      </w:r>
      <w:r w:rsidR="00A85058" w:rsidRPr="00313688">
        <w:rPr>
          <w:rFonts w:cs="Arial"/>
          <w:lang w:val="en-GB"/>
        </w:rPr>
        <w:t>800 mg daily.</w:t>
      </w:r>
    </w:p>
    <w:p w14:paraId="2B2EE657" w14:textId="77777777" w:rsidR="00932ED3" w:rsidRPr="00313688" w:rsidRDefault="00932ED3" w:rsidP="00A85058">
      <w:pPr>
        <w:rPr>
          <w:color w:val="auto"/>
          <w:lang w:val="en-GB"/>
        </w:rPr>
      </w:pPr>
    </w:p>
    <w:p w14:paraId="39AC9DC9" w14:textId="501EDBC4" w:rsidR="00D45733" w:rsidRPr="00D45733" w:rsidRDefault="00D45733" w:rsidP="00D45733">
      <w:pPr>
        <w:tabs>
          <w:tab w:val="clear" w:pos="2694"/>
          <w:tab w:val="clear" w:pos="2977"/>
        </w:tabs>
        <w:autoSpaceDE w:val="0"/>
        <w:autoSpaceDN w:val="0"/>
        <w:adjustRightInd w:val="0"/>
        <w:jc w:val="left"/>
        <w:rPr>
          <w:u w:val="single"/>
        </w:rPr>
      </w:pPr>
      <w:r w:rsidRPr="00D45733">
        <w:rPr>
          <w:u w:val="single"/>
        </w:rPr>
        <w:t xml:space="preserve">Invasive candidiasis (resistant to fluconazole/amphotericin B </w:t>
      </w:r>
      <w:r w:rsidR="004820AD">
        <w:rPr>
          <w:u w:val="single"/>
        </w:rPr>
        <w:t>or</w:t>
      </w:r>
      <w:r w:rsidR="004820AD" w:rsidRPr="00D45733">
        <w:rPr>
          <w:u w:val="single"/>
        </w:rPr>
        <w:t xml:space="preserve"> </w:t>
      </w:r>
      <w:r w:rsidRPr="00D45733">
        <w:rPr>
          <w:u w:val="single"/>
        </w:rPr>
        <w:t xml:space="preserve">renal </w:t>
      </w:r>
      <w:r w:rsidR="005465A2">
        <w:rPr>
          <w:u w:val="single"/>
        </w:rPr>
        <w:t xml:space="preserve">impairment </w:t>
      </w:r>
      <w:r w:rsidRPr="00D45733">
        <w:rPr>
          <w:u w:val="single"/>
        </w:rPr>
        <w:t>is present and</w:t>
      </w:r>
      <w:r w:rsidR="00D70FA4">
        <w:rPr>
          <w:u w:val="single"/>
        </w:rPr>
        <w:t xml:space="preserve"> amphotericin B cannot be used):</w:t>
      </w:r>
      <w:r w:rsidRPr="00D45733">
        <w:rPr>
          <w:u w:val="single"/>
        </w:rPr>
        <w:t xml:space="preserve"> </w:t>
      </w:r>
    </w:p>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
      </w:tblGrid>
      <w:tr w:rsidR="007367A2" w:rsidRPr="006026A1" w14:paraId="190BBE2B" w14:textId="77777777" w:rsidTr="00354AF5">
        <w:tc>
          <w:tcPr>
            <w:tcW w:w="1134" w:type="dxa"/>
            <w:shd w:val="clear" w:color="auto" w:fill="auto"/>
          </w:tcPr>
          <w:p w14:paraId="496DEC36" w14:textId="30EABD1A" w:rsidR="007367A2" w:rsidRPr="006026A1" w:rsidRDefault="007367A2" w:rsidP="00354AF5">
            <w:pPr>
              <w:jc w:val="right"/>
              <w:rPr>
                <w:b/>
                <w:i/>
                <w:sz w:val="16"/>
              </w:rPr>
            </w:pPr>
            <w:proofErr w:type="spellStart"/>
            <w:r w:rsidRPr="006026A1">
              <w:rPr>
                <w:i/>
                <w:sz w:val="16"/>
              </w:rPr>
              <w:t>LoE:II</w:t>
            </w:r>
            <w:r>
              <w:rPr>
                <w:i/>
                <w:sz w:val="16"/>
              </w:rPr>
              <w:t>Ib</w:t>
            </w:r>
            <w:proofErr w:type="spellEnd"/>
            <w:r w:rsidRPr="006026A1">
              <w:rPr>
                <w:i/>
                <w:sz w:val="16"/>
                <w:vertAlign w:val="superscript"/>
              </w:rPr>
              <w:endnoteReference w:id="9"/>
            </w:r>
          </w:p>
        </w:tc>
      </w:tr>
    </w:tbl>
    <w:p w14:paraId="627E1BE3" w14:textId="53C2937E" w:rsidR="00D45733" w:rsidRPr="005465A2" w:rsidRDefault="00D45733" w:rsidP="00D024FB">
      <w:pPr>
        <w:pStyle w:val="ListParagraph"/>
        <w:numPr>
          <w:ilvl w:val="0"/>
          <w:numId w:val="33"/>
        </w:numPr>
        <w:autoSpaceDE w:val="0"/>
        <w:autoSpaceDN w:val="0"/>
        <w:adjustRightInd w:val="0"/>
        <w:ind w:left="284" w:hanging="284"/>
      </w:pPr>
      <w:r w:rsidRPr="00D70FA4">
        <w:rPr>
          <w:rFonts w:ascii="Arial" w:hAnsi="Arial" w:cs="Arial"/>
          <w:sz w:val="18"/>
          <w:szCs w:val="18"/>
        </w:rPr>
        <w:t>Echinocandins</w:t>
      </w:r>
      <w:r w:rsidR="00D024FB">
        <w:rPr>
          <w:rFonts w:ascii="Arial" w:hAnsi="Arial" w:cs="Arial"/>
          <w:sz w:val="18"/>
          <w:szCs w:val="18"/>
        </w:rPr>
        <w:t>.</w:t>
      </w:r>
      <w:r w:rsidR="00D70FA4" w:rsidRPr="00D70FA4">
        <w:rPr>
          <w:rFonts w:ascii="Arial" w:hAnsi="Arial" w:cs="Arial"/>
          <w:sz w:val="18"/>
          <w:szCs w:val="18"/>
        </w:rPr>
        <w:t xml:space="preserve"> (Specialist motivation)</w:t>
      </w:r>
      <w:r w:rsidR="00D024FB">
        <w:rPr>
          <w:rFonts w:ascii="Arial" w:hAnsi="Arial" w:cs="Arial"/>
          <w:sz w:val="18"/>
          <w:szCs w:val="18"/>
        </w:rPr>
        <w:t>.</w:t>
      </w:r>
    </w:p>
    <w:p w14:paraId="6B942EDD" w14:textId="77777777" w:rsidR="00D45733" w:rsidRPr="006026A1" w:rsidRDefault="00D45733" w:rsidP="00D45733">
      <w:pPr>
        <w:pStyle w:val="Medicinebullet1"/>
        <w:rPr>
          <w:szCs w:val="16"/>
          <w:lang w:val="en-GB"/>
        </w:rPr>
      </w:pPr>
    </w:p>
    <w:p w14:paraId="0043C8D7" w14:textId="77777777" w:rsidR="003B25C0" w:rsidRPr="00FC610E" w:rsidRDefault="003B25C0" w:rsidP="00FC610E">
      <w:pPr>
        <w:pStyle w:val="Medicinebullet1"/>
        <w:rPr>
          <w:b/>
          <w:sz w:val="20"/>
          <w:szCs w:val="20"/>
          <w:lang w:val="en-GB"/>
        </w:rPr>
      </w:pPr>
      <w:r w:rsidRPr="00FC610E">
        <w:rPr>
          <w:b/>
          <w:sz w:val="20"/>
          <w:szCs w:val="20"/>
          <w:lang w:val="en-GB"/>
        </w:rPr>
        <w:t>REFERRAL</w:t>
      </w:r>
      <w:r w:rsidR="00FC610E" w:rsidRPr="00FC610E">
        <w:rPr>
          <w:b/>
          <w:sz w:val="20"/>
          <w:szCs w:val="20"/>
          <w:lang w:val="en-GB"/>
        </w:rPr>
        <w:t>/CONSULTATION</w:t>
      </w:r>
    </w:p>
    <w:p w14:paraId="437C9514" w14:textId="77777777" w:rsidR="003B25C0" w:rsidRDefault="002C4EBD" w:rsidP="00FC610E">
      <w:pPr>
        <w:pStyle w:val="Medicinebullet1"/>
        <w:rPr>
          <w:szCs w:val="16"/>
          <w:lang w:val="en-GB"/>
        </w:rPr>
      </w:pPr>
      <w:r w:rsidRPr="002C4EBD">
        <w:rPr>
          <w:i/>
          <w:szCs w:val="16"/>
          <w:lang w:val="en-GB"/>
        </w:rPr>
        <w:t>S. aureus</w:t>
      </w:r>
      <w:r w:rsidR="00BC76E3">
        <w:rPr>
          <w:i/>
          <w:szCs w:val="16"/>
          <w:lang w:val="en-GB"/>
        </w:rPr>
        <w:t xml:space="preserve"> </w:t>
      </w:r>
      <w:r w:rsidR="00FC610E" w:rsidRPr="002C4EBD">
        <w:rPr>
          <w:szCs w:val="16"/>
          <w:lang w:val="en-GB"/>
        </w:rPr>
        <w:t>endocarditis.</w:t>
      </w:r>
    </w:p>
    <w:p w14:paraId="1D700A38" w14:textId="77777777" w:rsidR="008B248B" w:rsidRPr="006026A1" w:rsidRDefault="008B248B" w:rsidP="00FC610E">
      <w:pPr>
        <w:pStyle w:val="Medicinebullet1"/>
        <w:rPr>
          <w:szCs w:val="16"/>
          <w:lang w:val="en-GB"/>
        </w:rPr>
      </w:pPr>
    </w:p>
    <w:p w14:paraId="6E44C20F" w14:textId="77777777" w:rsidR="006D4FB6" w:rsidRPr="00802C75" w:rsidRDefault="006D4FB6" w:rsidP="006D4FB6">
      <w:pPr>
        <w:pStyle w:val="Heading2"/>
        <w:rPr>
          <w:sz w:val="22"/>
          <w:szCs w:val="22"/>
          <w:lang w:val="en-GB"/>
        </w:rPr>
      </w:pPr>
      <w:r w:rsidRPr="00802C75">
        <w:rPr>
          <w:sz w:val="22"/>
          <w:szCs w:val="22"/>
          <w:lang w:val="en-GB"/>
        </w:rPr>
        <w:t>9.1.2 Surgical wound infections</w:t>
      </w:r>
    </w:p>
    <w:p w14:paraId="5ED5B0BC" w14:textId="64D3C7C6" w:rsidR="006D4FB6" w:rsidRPr="00802C75" w:rsidRDefault="006D4FB6" w:rsidP="006D4FB6">
      <w:pPr>
        <w:pStyle w:val="ICD10heading"/>
        <w:rPr>
          <w:lang w:val="en-GB"/>
        </w:rPr>
      </w:pPr>
      <w:r w:rsidRPr="00802C75">
        <w:rPr>
          <w:lang w:val="en-GB"/>
        </w:rPr>
        <w:t>t81</w:t>
      </w:r>
      <w:r w:rsidR="00A468AA">
        <w:rPr>
          <w:lang w:val="en-GB"/>
        </w:rPr>
        <w:t>.4 + (Y83.6/Y83.8-9/B95.6/U82.1</w:t>
      </w:r>
      <w:r w:rsidR="000018CA">
        <w:rPr>
          <w:lang w:val="en-GB"/>
        </w:rPr>
        <w:t>)</w:t>
      </w:r>
    </w:p>
    <w:p w14:paraId="46E9FCBB" w14:textId="77777777" w:rsidR="006D4FB6" w:rsidRPr="006026A1" w:rsidRDefault="006D4FB6" w:rsidP="006D4FB6">
      <w:pPr>
        <w:rPr>
          <w:sz w:val="16"/>
          <w:szCs w:val="16"/>
          <w:lang w:val="en-GB"/>
        </w:rPr>
      </w:pPr>
    </w:p>
    <w:p w14:paraId="19916302" w14:textId="77777777" w:rsidR="006D4FB6" w:rsidRPr="00802C75" w:rsidRDefault="006D4FB6" w:rsidP="00237ED1">
      <w:pPr>
        <w:pStyle w:val="Heading3"/>
        <w:keepNext w:val="0"/>
        <w:widowControl w:val="0"/>
        <w:rPr>
          <w:lang w:val="en-GB"/>
        </w:rPr>
      </w:pPr>
      <w:r w:rsidRPr="00802C75">
        <w:rPr>
          <w:lang w:val="en-GB"/>
        </w:rPr>
        <w:t>description</w:t>
      </w:r>
    </w:p>
    <w:p w14:paraId="79900BBB" w14:textId="30114623" w:rsidR="006D4FB6" w:rsidRDefault="006D4FB6" w:rsidP="00237ED1">
      <w:pPr>
        <w:widowControl w:val="0"/>
        <w:rPr>
          <w:b/>
          <w:color w:val="FF0000"/>
          <w:u w:val="single"/>
          <w:lang w:val="en-GB"/>
        </w:rPr>
      </w:pPr>
      <w:r w:rsidRPr="00922439">
        <w:rPr>
          <w:lang w:val="en-GB"/>
        </w:rPr>
        <w:t>Common organism</w:t>
      </w:r>
      <w:r w:rsidR="008E7690">
        <w:rPr>
          <w:lang w:val="en-GB"/>
        </w:rPr>
        <w:t>s</w:t>
      </w:r>
      <w:r w:rsidRPr="00922439">
        <w:rPr>
          <w:lang w:val="en-GB"/>
        </w:rPr>
        <w:t xml:space="preserve">: </w:t>
      </w:r>
      <w:r w:rsidR="0093371E">
        <w:rPr>
          <w:lang w:val="en-GB"/>
        </w:rPr>
        <w:t xml:space="preserve">Gram positive bacteria, especially </w:t>
      </w:r>
      <w:r w:rsidRPr="00922439">
        <w:rPr>
          <w:i/>
          <w:lang w:val="en-GB"/>
        </w:rPr>
        <w:t>S. aureus</w:t>
      </w:r>
      <w:r w:rsidR="001F5FC2" w:rsidRPr="00453E32">
        <w:rPr>
          <w:iCs/>
          <w:lang w:val="en-GB"/>
        </w:rPr>
        <w:t>,</w:t>
      </w:r>
      <w:r w:rsidR="008B248B" w:rsidRPr="00453E32">
        <w:rPr>
          <w:iCs/>
          <w:color w:val="auto"/>
          <w:lang w:val="en-GB"/>
        </w:rPr>
        <w:t xml:space="preserve"> </w:t>
      </w:r>
      <w:r w:rsidR="001F5FC2">
        <w:rPr>
          <w:iCs/>
          <w:color w:val="auto"/>
          <w:lang w:val="en-GB"/>
        </w:rPr>
        <w:t>are the comm</w:t>
      </w:r>
      <w:r w:rsidR="00363DAE">
        <w:rPr>
          <w:iCs/>
          <w:color w:val="auto"/>
          <w:lang w:val="en-GB"/>
        </w:rPr>
        <w:t>o</w:t>
      </w:r>
      <w:r w:rsidR="001F5FC2">
        <w:rPr>
          <w:iCs/>
          <w:color w:val="auto"/>
          <w:lang w:val="en-GB"/>
        </w:rPr>
        <w:t xml:space="preserve">nest cause. </w:t>
      </w:r>
      <w:r w:rsidR="00313688">
        <w:rPr>
          <w:color w:val="auto"/>
          <w:lang w:val="en-GB"/>
        </w:rPr>
        <w:t>G</w:t>
      </w:r>
      <w:r w:rsidR="00175D06" w:rsidRPr="008B248B">
        <w:rPr>
          <w:color w:val="auto"/>
          <w:lang w:val="en-GB"/>
        </w:rPr>
        <w:t xml:space="preserve">ram negative </w:t>
      </w:r>
      <w:r w:rsidR="00876E21">
        <w:rPr>
          <w:color w:val="auto"/>
          <w:lang w:val="en-GB"/>
        </w:rPr>
        <w:t xml:space="preserve">and anaerobic </w:t>
      </w:r>
      <w:r w:rsidR="00175D06" w:rsidRPr="008B248B">
        <w:rPr>
          <w:color w:val="auto"/>
          <w:lang w:val="en-GB"/>
        </w:rPr>
        <w:t>bac</w:t>
      </w:r>
      <w:r w:rsidR="00876E21">
        <w:rPr>
          <w:color w:val="auto"/>
          <w:lang w:val="en-GB"/>
        </w:rPr>
        <w:t xml:space="preserve">teria are important </w:t>
      </w:r>
      <w:r w:rsidR="00876E21">
        <w:rPr>
          <w:color w:val="auto"/>
          <w:lang w:val="en-GB"/>
        </w:rPr>
        <w:lastRenderedPageBreak/>
        <w:t xml:space="preserve">causes </w:t>
      </w:r>
      <w:r w:rsidR="00077F9D">
        <w:rPr>
          <w:color w:val="auto"/>
          <w:lang w:val="en-GB"/>
        </w:rPr>
        <w:t>follow</w:t>
      </w:r>
      <w:r w:rsidR="00876E21">
        <w:rPr>
          <w:color w:val="auto"/>
          <w:lang w:val="en-GB"/>
        </w:rPr>
        <w:t>in</w:t>
      </w:r>
      <w:r w:rsidR="0013586F">
        <w:rPr>
          <w:color w:val="auto"/>
          <w:lang w:val="en-GB"/>
        </w:rPr>
        <w:t>g</w:t>
      </w:r>
      <w:r w:rsidR="00876E21">
        <w:rPr>
          <w:color w:val="auto"/>
          <w:lang w:val="en-GB"/>
        </w:rPr>
        <w:t xml:space="preserve"> </w:t>
      </w:r>
      <w:r w:rsidR="00077F9D">
        <w:rPr>
          <w:color w:val="auto"/>
          <w:lang w:val="en-GB"/>
        </w:rPr>
        <w:t>gynaecological and intestinal surgery.</w:t>
      </w:r>
      <w:r w:rsidR="00175D06" w:rsidRPr="008B248B">
        <w:rPr>
          <w:color w:val="auto"/>
          <w:lang w:val="en-GB"/>
        </w:rPr>
        <w:t xml:space="preserve"> </w:t>
      </w:r>
    </w:p>
    <w:p w14:paraId="261EF421" w14:textId="58145019" w:rsidR="006D4FB6" w:rsidRPr="00AC5E41" w:rsidRDefault="006D4FB6" w:rsidP="00237ED1">
      <w:pPr>
        <w:widowControl w:val="0"/>
        <w:rPr>
          <w:spacing w:val="-4"/>
          <w:lang w:val="en-GB"/>
        </w:rPr>
      </w:pPr>
      <w:r w:rsidRPr="00AC5E41">
        <w:rPr>
          <w:spacing w:val="-4"/>
          <w:lang w:val="en-GB"/>
        </w:rPr>
        <w:t>Microbiologic specimen</w:t>
      </w:r>
      <w:r w:rsidR="00A17C82">
        <w:rPr>
          <w:spacing w:val="-4"/>
          <w:lang w:val="en-GB"/>
        </w:rPr>
        <w:t xml:space="preserve"> (in patients with a larger area of erythema or systemic evidence of infection)</w:t>
      </w:r>
      <w:r w:rsidRPr="00AC5E41">
        <w:rPr>
          <w:spacing w:val="-4"/>
          <w:lang w:val="en-GB"/>
        </w:rPr>
        <w:t xml:space="preserve">: deep wound swab </w:t>
      </w:r>
      <w:r w:rsidR="00A17C82">
        <w:rPr>
          <w:spacing w:val="-4"/>
          <w:lang w:val="en-GB"/>
        </w:rPr>
        <w:t xml:space="preserve">(NOT a superficial swab), </w:t>
      </w:r>
      <w:r w:rsidRPr="00AC5E41">
        <w:rPr>
          <w:spacing w:val="-4"/>
          <w:lang w:val="en-GB"/>
        </w:rPr>
        <w:t>aspirate of pus</w:t>
      </w:r>
      <w:r w:rsidR="00CB690F" w:rsidRPr="00AC5E41">
        <w:rPr>
          <w:spacing w:val="-4"/>
          <w:lang w:val="en-GB"/>
        </w:rPr>
        <w:t>,</w:t>
      </w:r>
      <w:r w:rsidRPr="00AC5E41">
        <w:rPr>
          <w:spacing w:val="-4"/>
          <w:lang w:val="en-GB"/>
        </w:rPr>
        <w:t xml:space="preserve"> </w:t>
      </w:r>
      <w:r w:rsidR="00A17C82">
        <w:rPr>
          <w:spacing w:val="-4"/>
          <w:lang w:val="en-GB"/>
        </w:rPr>
        <w:t xml:space="preserve">or tissue biopsy, </w:t>
      </w:r>
      <w:r w:rsidRPr="00AC5E41">
        <w:rPr>
          <w:spacing w:val="-4"/>
          <w:lang w:val="en-GB"/>
        </w:rPr>
        <w:t>and blood culture.</w:t>
      </w:r>
    </w:p>
    <w:p w14:paraId="0C885EBF" w14:textId="2AF1B4F9" w:rsidR="006D4FB6" w:rsidRDefault="00AA1A3B" w:rsidP="00237ED1">
      <w:pPr>
        <w:widowControl w:val="0"/>
        <w:rPr>
          <w:lang w:val="en-GB"/>
        </w:rPr>
      </w:pPr>
      <w:r>
        <w:rPr>
          <w:lang w:val="en-GB"/>
        </w:rPr>
        <w:t xml:space="preserve">Suture removal </w:t>
      </w:r>
      <w:r w:rsidR="00995643">
        <w:rPr>
          <w:lang w:val="en-GB"/>
        </w:rPr>
        <w:t>plus</w:t>
      </w:r>
      <w:r>
        <w:rPr>
          <w:lang w:val="en-GB"/>
        </w:rPr>
        <w:t xml:space="preserve"> incision and drainage </w:t>
      </w:r>
      <w:r w:rsidR="00995643">
        <w:rPr>
          <w:lang w:val="en-GB"/>
        </w:rPr>
        <w:t>is essential.</w:t>
      </w:r>
      <w:r>
        <w:rPr>
          <w:lang w:val="en-GB"/>
        </w:rPr>
        <w:t xml:space="preserve"> </w:t>
      </w:r>
      <w:r w:rsidR="006D4FB6" w:rsidRPr="00802C75">
        <w:rPr>
          <w:lang w:val="en-GB"/>
        </w:rPr>
        <w:t>Antibiotics are not usually necessary</w:t>
      </w:r>
      <w:r w:rsidR="00995643">
        <w:rPr>
          <w:lang w:val="en-GB"/>
        </w:rPr>
        <w:t xml:space="preserve"> except if there </w:t>
      </w:r>
      <w:r w:rsidR="00B4029F">
        <w:rPr>
          <w:lang w:val="en-GB"/>
        </w:rPr>
        <w:t>is marked surrounding cellulitis or</w:t>
      </w:r>
      <w:r w:rsidR="00995643">
        <w:rPr>
          <w:lang w:val="en-GB"/>
        </w:rPr>
        <w:t xml:space="preserve"> features of systemic infection</w:t>
      </w:r>
      <w:r w:rsidR="006D4FB6" w:rsidRPr="00802C75">
        <w:rPr>
          <w:lang w:val="en-GB"/>
        </w:rPr>
        <w:t xml:space="preserve">. </w:t>
      </w:r>
    </w:p>
    <w:p w14:paraId="15B886CE" w14:textId="77777777" w:rsidR="00453E32" w:rsidRPr="00802C75" w:rsidRDefault="00453E32" w:rsidP="00237ED1">
      <w:pPr>
        <w:widowControl w:val="0"/>
        <w:rPr>
          <w:lang w:val="en-GB"/>
        </w:rPr>
      </w:pPr>
    </w:p>
    <w:p w14:paraId="43F98F41" w14:textId="77777777" w:rsidR="006D4FB6" w:rsidRPr="00802C75" w:rsidRDefault="006D4FB6" w:rsidP="006D4FB6">
      <w:pPr>
        <w:pStyle w:val="Heading3"/>
        <w:rPr>
          <w:lang w:val="en-GB"/>
        </w:rPr>
      </w:pPr>
      <w:r w:rsidRPr="00802C75">
        <w:rPr>
          <w:lang w:val="en-GB"/>
        </w:rPr>
        <w:t>medicine treatment</w:t>
      </w:r>
    </w:p>
    <w:p w14:paraId="57F99C82" w14:textId="77777777" w:rsidR="00B700C0" w:rsidRDefault="006D4FB6" w:rsidP="006D4FB6">
      <w:pPr>
        <w:rPr>
          <w:spacing w:val="-4"/>
          <w:lang w:val="en-GB"/>
        </w:rPr>
      </w:pPr>
      <w:r w:rsidRPr="00234210">
        <w:rPr>
          <w:b/>
          <w:spacing w:val="-4"/>
          <w:lang w:val="en-GB"/>
        </w:rPr>
        <w:t>Empiric antibiotic therapy</w:t>
      </w:r>
      <w:r w:rsidR="00234210" w:rsidRPr="00234210">
        <w:rPr>
          <w:b/>
          <w:spacing w:val="-4"/>
          <w:lang w:val="en-GB"/>
        </w:rPr>
        <w:t>:</w:t>
      </w:r>
      <w:r w:rsidR="0040596D" w:rsidRPr="00234210">
        <w:rPr>
          <w:b/>
          <w:spacing w:val="-4"/>
          <w:lang w:val="en-GB"/>
        </w:rPr>
        <w:t xml:space="preserve"> </w:t>
      </w:r>
      <w:r w:rsidR="0040596D" w:rsidRPr="00234210">
        <w:rPr>
          <w:spacing w:val="-4"/>
          <w:lang w:val="en-GB"/>
        </w:rPr>
        <w:t>Total duration of therapy</w:t>
      </w:r>
      <w:r w:rsidR="00234210">
        <w:rPr>
          <w:spacing w:val="-4"/>
          <w:lang w:val="en-GB"/>
        </w:rPr>
        <w:t xml:space="preserve"> </w:t>
      </w:r>
      <w:r w:rsidR="0040596D" w:rsidRPr="00234210">
        <w:rPr>
          <w:spacing w:val="-4"/>
          <w:lang w:val="en-GB"/>
        </w:rPr>
        <w:t>should not exceed 7 days.</w:t>
      </w:r>
    </w:p>
    <w:p w14:paraId="1DF616A6" w14:textId="77777777" w:rsidR="00234210" w:rsidRPr="006026A1" w:rsidRDefault="00234210" w:rsidP="006D4FB6">
      <w:pPr>
        <w:rPr>
          <w:spacing w:val="-4"/>
          <w:sz w:val="10"/>
          <w:lang w:val="en-GB"/>
        </w:rPr>
      </w:pPr>
    </w:p>
    <w:p w14:paraId="04CF959B" w14:textId="50AC4C46" w:rsidR="006D4FB6" w:rsidRPr="00A468AA" w:rsidRDefault="005B69C4" w:rsidP="006D4FB6">
      <w:pPr>
        <w:rPr>
          <w:sz w:val="16"/>
          <w:lang w:val="en-GB"/>
        </w:rPr>
      </w:pPr>
      <w:r w:rsidRPr="00802C75">
        <w:rPr>
          <w:b/>
          <w:lang w:val="en-GB"/>
        </w:rPr>
        <w:t>If surrounding cellulitis or systemic sepsis</w:t>
      </w:r>
      <w:r w:rsidR="0000666A">
        <w:rPr>
          <w:b/>
          <w:lang w:val="en-GB"/>
        </w:rPr>
        <w:t xml:space="preserve"> not involving the </w:t>
      </w:r>
      <w:r w:rsidR="00BB5EA1">
        <w:rPr>
          <w:b/>
          <w:lang w:val="en-GB"/>
        </w:rPr>
        <w:t>gastro-intestinal (</w:t>
      </w:r>
      <w:r w:rsidR="0000666A">
        <w:rPr>
          <w:b/>
          <w:lang w:val="en-GB"/>
        </w:rPr>
        <w:t>GI</w:t>
      </w:r>
      <w:r w:rsidR="00BB5EA1">
        <w:rPr>
          <w:b/>
          <w:lang w:val="en-GB"/>
        </w:rPr>
        <w:t>)</w:t>
      </w:r>
      <w:r w:rsidR="0000666A">
        <w:rPr>
          <w:b/>
          <w:lang w:val="en-GB"/>
        </w:rPr>
        <w:t xml:space="preserve"> or female genital tract</w:t>
      </w:r>
      <w:r w:rsidRPr="00802C75">
        <w:rPr>
          <w:b/>
          <w:lang w:val="en-GB"/>
        </w:rPr>
        <w:t>:</w:t>
      </w:r>
      <w:r w:rsidR="00A468AA">
        <w:rPr>
          <w:b/>
          <w:lang w:val="en-GB"/>
        </w:rPr>
        <w:t xml:space="preserve"> </w:t>
      </w:r>
    </w:p>
    <w:p w14:paraId="7FADC353" w14:textId="77777777" w:rsidR="00624320" w:rsidRPr="00802C75" w:rsidRDefault="00624320" w:rsidP="00D024FB">
      <w:pPr>
        <w:pStyle w:val="Medicinebullet1"/>
        <w:numPr>
          <w:ilvl w:val="0"/>
          <w:numId w:val="3"/>
        </w:numPr>
        <w:ind w:left="284" w:hanging="284"/>
        <w:rPr>
          <w:u w:val="single"/>
          <w:lang w:val="en-GB"/>
        </w:rPr>
      </w:pPr>
      <w:r>
        <w:rPr>
          <w:rFonts w:cs="Arial"/>
          <w:lang w:val="en-GB"/>
        </w:rPr>
        <w:t>Cefazolin, IV, 1 g 8 hourly.</w:t>
      </w:r>
    </w:p>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
      </w:tblGrid>
      <w:tr w:rsidR="00624320" w:rsidRPr="007113C4" w14:paraId="407CB2E0" w14:textId="77777777" w:rsidTr="00AA7066">
        <w:tc>
          <w:tcPr>
            <w:tcW w:w="1134" w:type="dxa"/>
            <w:shd w:val="clear" w:color="auto" w:fill="auto"/>
          </w:tcPr>
          <w:p w14:paraId="482B4ED9" w14:textId="6DC047BA" w:rsidR="00624320" w:rsidRPr="00F36CEB" w:rsidRDefault="00624320" w:rsidP="00AA7066">
            <w:pPr>
              <w:jc w:val="right"/>
              <w:rPr>
                <w:b/>
                <w:i/>
                <w:sz w:val="16"/>
              </w:rPr>
            </w:pPr>
            <w:proofErr w:type="spellStart"/>
            <w:r w:rsidRPr="00F36CEB">
              <w:rPr>
                <w:i/>
                <w:sz w:val="16"/>
              </w:rPr>
              <w:t>LoE:II</w:t>
            </w:r>
            <w:r w:rsidR="00DA6CD1">
              <w:rPr>
                <w:i/>
                <w:sz w:val="16"/>
              </w:rPr>
              <w:t>a</w:t>
            </w:r>
            <w:proofErr w:type="spellEnd"/>
            <w:r w:rsidRPr="00F36CEB">
              <w:rPr>
                <w:i/>
                <w:sz w:val="16"/>
                <w:vertAlign w:val="superscript"/>
              </w:rPr>
              <w:endnoteReference w:id="10"/>
            </w:r>
          </w:p>
        </w:tc>
      </w:tr>
    </w:tbl>
    <w:p w14:paraId="0AE6FF43" w14:textId="77777777" w:rsidR="00C8136F" w:rsidRPr="00624320" w:rsidRDefault="00C8136F" w:rsidP="00624320">
      <w:pPr>
        <w:pStyle w:val="Medicinebullet1"/>
        <w:ind w:left="360"/>
        <w:rPr>
          <w:sz w:val="2"/>
          <w:lang w:val="en-GB"/>
        </w:rPr>
      </w:pPr>
    </w:p>
    <w:p w14:paraId="5ADB768B" w14:textId="7DE90C5E" w:rsidR="006026A1" w:rsidRPr="009E5BAF" w:rsidRDefault="00851D65" w:rsidP="00851D65">
      <w:pPr>
        <w:rPr>
          <w:color w:val="auto"/>
        </w:rPr>
      </w:pPr>
      <w:r w:rsidRPr="009E5BAF">
        <w:rPr>
          <w:color w:val="auto"/>
          <w:lang w:val="en-GB"/>
        </w:rPr>
        <w:t xml:space="preserve">Follow with </w:t>
      </w:r>
      <w:r>
        <w:rPr>
          <w:color w:val="auto"/>
          <w:lang w:val="en-GB"/>
        </w:rPr>
        <w:t xml:space="preserve">oral therapy </w:t>
      </w:r>
      <w:r w:rsidRPr="009E5BAF">
        <w:rPr>
          <w:color w:val="auto"/>
          <w:lang w:val="en-GB"/>
        </w:rPr>
        <w:t xml:space="preserve">as soon as patient can </w:t>
      </w:r>
      <w:proofErr w:type="gramStart"/>
      <w:r w:rsidRPr="009E5BAF">
        <w:rPr>
          <w:color w:val="auto"/>
          <w:lang w:val="en-GB"/>
        </w:rPr>
        <w:t>swallow</w:t>
      </w:r>
      <w:proofErr w:type="gramEnd"/>
      <w:r w:rsidR="00F36CEB">
        <w:rPr>
          <w:color w:val="auto"/>
          <w:lang w:val="en-GB"/>
        </w:rPr>
        <w:t xml:space="preserve"> </w:t>
      </w:r>
      <w:r w:rsidRPr="009E5BAF">
        <w:rPr>
          <w:color w:val="auto"/>
          <w:lang w:val="en-GB"/>
        </w:rPr>
        <w:t>and the temperature is &lt;37.8</w:t>
      </w:r>
      <w:r w:rsidR="009434C3" w:rsidRPr="009434C3">
        <w:rPr>
          <w:color w:val="auto"/>
          <w:vertAlign w:val="superscript"/>
          <w:lang w:val="en-GB"/>
        </w:rPr>
        <w:t>o</w:t>
      </w:r>
      <w:r w:rsidR="00042AAB">
        <w:rPr>
          <w:color w:val="auto"/>
          <w:lang w:val="en-GB"/>
        </w:rPr>
        <w:t>C</w:t>
      </w:r>
      <w:r w:rsidRPr="009E5BAF">
        <w:rPr>
          <w:color w:val="auto"/>
          <w:lang w:val="en-GB"/>
        </w:rPr>
        <w:t xml:space="preserve"> for 24 hours:</w:t>
      </w:r>
    </w:p>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
      </w:tblGrid>
      <w:tr w:rsidR="006026A1" w:rsidRPr="007113C4" w14:paraId="5F40D243" w14:textId="77777777" w:rsidTr="00A468AA">
        <w:tc>
          <w:tcPr>
            <w:tcW w:w="1134" w:type="dxa"/>
            <w:shd w:val="clear" w:color="auto" w:fill="auto"/>
          </w:tcPr>
          <w:p w14:paraId="305F9E18" w14:textId="077E3859" w:rsidR="006026A1" w:rsidRPr="00F36CEB" w:rsidRDefault="006026A1" w:rsidP="00A468AA">
            <w:pPr>
              <w:jc w:val="right"/>
              <w:rPr>
                <w:b/>
                <w:i/>
                <w:sz w:val="16"/>
              </w:rPr>
            </w:pPr>
            <w:proofErr w:type="spellStart"/>
            <w:r w:rsidRPr="00F36CEB">
              <w:rPr>
                <w:i/>
                <w:sz w:val="16"/>
              </w:rPr>
              <w:t>LoE:I</w:t>
            </w:r>
            <w:r w:rsidR="001E52DC">
              <w:rPr>
                <w:i/>
                <w:sz w:val="16"/>
              </w:rPr>
              <w:t>Vb</w:t>
            </w:r>
            <w:proofErr w:type="spellEnd"/>
            <w:r w:rsidRPr="00F36CEB">
              <w:rPr>
                <w:i/>
                <w:sz w:val="16"/>
                <w:vertAlign w:val="superscript"/>
              </w:rPr>
              <w:endnoteReference w:id="11"/>
            </w:r>
          </w:p>
        </w:tc>
      </w:tr>
    </w:tbl>
    <w:p w14:paraId="54CF427C" w14:textId="77777777" w:rsidR="00851D65" w:rsidRPr="006026A1" w:rsidRDefault="00851D65" w:rsidP="00851D65">
      <w:pPr>
        <w:rPr>
          <w:color w:val="auto"/>
          <w:sz w:val="2"/>
        </w:rPr>
      </w:pPr>
    </w:p>
    <w:p w14:paraId="2E366956" w14:textId="77777777" w:rsidR="006026A1" w:rsidRPr="00802C75" w:rsidRDefault="006D4FB6" w:rsidP="00D024FB">
      <w:pPr>
        <w:pStyle w:val="Medicinebullet1"/>
        <w:numPr>
          <w:ilvl w:val="0"/>
          <w:numId w:val="3"/>
        </w:numPr>
        <w:ind w:left="284" w:hanging="284"/>
        <w:rPr>
          <w:rFonts w:cs="Arial"/>
          <w:lang w:val="en-GB"/>
        </w:rPr>
      </w:pPr>
      <w:r w:rsidRPr="00802C75">
        <w:rPr>
          <w:rFonts w:cs="Arial"/>
          <w:lang w:val="en-GB"/>
        </w:rPr>
        <w:t>Flucloxacillin, oral, 500 mg 6 hourly.</w:t>
      </w:r>
    </w:p>
    <w:p w14:paraId="4CBAE69A" w14:textId="77777777" w:rsidR="00042AAB" w:rsidRDefault="00042AAB" w:rsidP="006D4FB6">
      <w:pPr>
        <w:rPr>
          <w:color w:val="auto"/>
          <w:u w:val="single"/>
          <w:lang w:val="en-GB"/>
        </w:rPr>
      </w:pPr>
    </w:p>
    <w:p w14:paraId="7873DD5C" w14:textId="50804BB5" w:rsidR="00851D65" w:rsidRPr="00F36CEB" w:rsidRDefault="00851D65" w:rsidP="006D4FB6">
      <w:pPr>
        <w:rPr>
          <w:color w:val="auto"/>
          <w:u w:val="single"/>
          <w:lang w:val="en-GB"/>
        </w:rPr>
      </w:pPr>
      <w:r w:rsidRPr="00F36CEB">
        <w:rPr>
          <w:color w:val="auto"/>
          <w:u w:val="single"/>
          <w:lang w:val="en-GB"/>
        </w:rPr>
        <w:t xml:space="preserve">Check </w:t>
      </w:r>
      <w:r w:rsidR="00313688">
        <w:rPr>
          <w:color w:val="auto"/>
          <w:u w:val="single"/>
          <w:lang w:val="en-GB"/>
        </w:rPr>
        <w:t>G</w:t>
      </w:r>
      <w:r w:rsidRPr="00F36CEB">
        <w:rPr>
          <w:color w:val="auto"/>
          <w:u w:val="single"/>
          <w:lang w:val="en-GB"/>
        </w:rPr>
        <w:t xml:space="preserve">ram stain of exudate. If </w:t>
      </w:r>
      <w:r w:rsidR="00313688">
        <w:rPr>
          <w:color w:val="auto"/>
          <w:u w:val="single"/>
          <w:lang w:val="en-GB"/>
        </w:rPr>
        <w:t>G</w:t>
      </w:r>
      <w:r w:rsidRPr="00F36CEB">
        <w:rPr>
          <w:color w:val="auto"/>
          <w:u w:val="single"/>
          <w:lang w:val="en-GB"/>
        </w:rPr>
        <w:t xml:space="preserve">ram negative organism: </w:t>
      </w:r>
    </w:p>
    <w:p w14:paraId="0FFFF974" w14:textId="77777777" w:rsidR="00851D65" w:rsidRPr="00851D65" w:rsidRDefault="00851D65" w:rsidP="006D4FB6">
      <w:pPr>
        <w:rPr>
          <w:b/>
          <w:color w:val="auto"/>
          <w:lang w:val="en-GB"/>
        </w:rPr>
      </w:pPr>
      <w:r w:rsidRPr="00851D65">
        <w:rPr>
          <w:b/>
          <w:color w:val="auto"/>
          <w:lang w:val="en-GB"/>
        </w:rPr>
        <w:t>ADD</w:t>
      </w:r>
    </w:p>
    <w:p w14:paraId="6A118153" w14:textId="77777777" w:rsidR="00F36CEB" w:rsidRPr="00D70FA4" w:rsidRDefault="00851D65" w:rsidP="00D024FB">
      <w:pPr>
        <w:pStyle w:val="Medicinebullet1"/>
        <w:numPr>
          <w:ilvl w:val="0"/>
          <w:numId w:val="3"/>
        </w:numPr>
        <w:ind w:left="284" w:hanging="284"/>
        <w:rPr>
          <w:sz w:val="10"/>
          <w:lang w:val="en-GB"/>
        </w:rPr>
      </w:pPr>
      <w:r>
        <w:rPr>
          <w:lang w:val="en-GB"/>
        </w:rPr>
        <w:t>Piperacillin/tazobactam, IV, 4.5 g 8 hourly</w:t>
      </w:r>
      <w:r w:rsidR="00F36CEB">
        <w:rPr>
          <w:lang w:val="en-GB"/>
        </w:rPr>
        <w:t>.</w:t>
      </w:r>
    </w:p>
    <w:p w14:paraId="77018462" w14:textId="77777777" w:rsidR="00042AAB" w:rsidRDefault="00042AAB" w:rsidP="00D70FA4">
      <w:pPr>
        <w:pStyle w:val="Medicinebullet1"/>
        <w:ind w:left="360"/>
        <w:rPr>
          <w:sz w:val="10"/>
          <w:lang w:val="en-GB"/>
        </w:rPr>
      </w:pPr>
    </w:p>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
      </w:tblGrid>
      <w:tr w:rsidR="00F36CEB" w:rsidRPr="00AE506D" w14:paraId="28B7BE7D" w14:textId="77777777" w:rsidTr="002F33E4">
        <w:tc>
          <w:tcPr>
            <w:tcW w:w="1134" w:type="dxa"/>
            <w:shd w:val="clear" w:color="auto" w:fill="auto"/>
          </w:tcPr>
          <w:p w14:paraId="3C9B311B" w14:textId="5DD80C5A" w:rsidR="00F36CEB" w:rsidRPr="00AE506D" w:rsidRDefault="00F36CEB" w:rsidP="00F36CEB">
            <w:pPr>
              <w:jc w:val="right"/>
              <w:rPr>
                <w:b/>
                <w:i/>
                <w:sz w:val="16"/>
              </w:rPr>
            </w:pPr>
            <w:proofErr w:type="spellStart"/>
            <w:r w:rsidRPr="00AE506D">
              <w:rPr>
                <w:i/>
                <w:sz w:val="16"/>
              </w:rPr>
              <w:t>LoE:I</w:t>
            </w:r>
            <w:r w:rsidR="001E52DC">
              <w:rPr>
                <w:i/>
                <w:sz w:val="16"/>
              </w:rPr>
              <w:t>Vb</w:t>
            </w:r>
            <w:proofErr w:type="spellEnd"/>
          </w:p>
        </w:tc>
      </w:tr>
    </w:tbl>
    <w:p w14:paraId="2C13878B" w14:textId="77777777" w:rsidR="00851D65" w:rsidRDefault="00851D65" w:rsidP="00F36CEB">
      <w:pPr>
        <w:pStyle w:val="Medicinebullet1"/>
        <w:ind w:left="360"/>
        <w:rPr>
          <w:sz w:val="10"/>
          <w:lang w:val="en-GB"/>
        </w:rPr>
      </w:pPr>
    </w:p>
    <w:p w14:paraId="0443B9F0" w14:textId="77777777" w:rsidR="006D4FB6" w:rsidRPr="00D70FA4" w:rsidRDefault="005E1933" w:rsidP="006D4FB6">
      <w:pPr>
        <w:rPr>
          <w:b/>
          <w:sz w:val="16"/>
          <w:lang w:val="en-GB"/>
        </w:rPr>
      </w:pPr>
      <w:r w:rsidRPr="00D70FA4">
        <w:rPr>
          <w:b/>
          <w:lang w:val="en-GB"/>
        </w:rPr>
        <w:t xml:space="preserve">Severe </w:t>
      </w:r>
      <w:r w:rsidR="00B55B85" w:rsidRPr="00D70FA4">
        <w:rPr>
          <w:b/>
          <w:lang w:val="en-GB"/>
        </w:rPr>
        <w:t xml:space="preserve">penicillin </w:t>
      </w:r>
      <w:r w:rsidR="006D4FB6" w:rsidRPr="00D70FA4">
        <w:rPr>
          <w:b/>
          <w:lang w:val="en-GB"/>
        </w:rPr>
        <w:t>allergy:</w:t>
      </w:r>
      <w:r w:rsidR="00A468AA" w:rsidRPr="00D70FA4">
        <w:rPr>
          <w:b/>
          <w:lang w:val="en-GB"/>
        </w:rPr>
        <w:t xml:space="preserve"> </w:t>
      </w:r>
      <w:r w:rsidR="00A468AA" w:rsidRPr="000018CA">
        <w:rPr>
          <w:sz w:val="16"/>
          <w:lang w:val="en-GB"/>
        </w:rPr>
        <w:t>(Z88.0)</w:t>
      </w:r>
    </w:p>
    <w:p w14:paraId="3540E8E1" w14:textId="77777777" w:rsidR="006D4FB6" w:rsidRPr="00802C75" w:rsidRDefault="006D4FB6" w:rsidP="00D024FB">
      <w:pPr>
        <w:pStyle w:val="Medicinebullet1"/>
        <w:numPr>
          <w:ilvl w:val="0"/>
          <w:numId w:val="3"/>
        </w:numPr>
        <w:ind w:left="284" w:hanging="284"/>
        <w:rPr>
          <w:rFonts w:cs="Arial"/>
          <w:lang w:val="en-GB"/>
        </w:rPr>
      </w:pPr>
      <w:r w:rsidRPr="00802C75">
        <w:rPr>
          <w:rFonts w:cs="Arial"/>
          <w:lang w:val="en-GB"/>
        </w:rPr>
        <w:t xml:space="preserve">Clindamycin, IV, 600 mg 8 hourly. </w:t>
      </w:r>
    </w:p>
    <w:p w14:paraId="1632DE87" w14:textId="62879425" w:rsidR="008E3B65" w:rsidRPr="009E5BAF" w:rsidRDefault="008E3B65" w:rsidP="008E3B65">
      <w:pPr>
        <w:rPr>
          <w:color w:val="auto"/>
        </w:rPr>
      </w:pPr>
      <w:r w:rsidRPr="009E5BAF">
        <w:rPr>
          <w:color w:val="auto"/>
          <w:lang w:val="en-GB"/>
        </w:rPr>
        <w:t xml:space="preserve">Follow with </w:t>
      </w:r>
      <w:r>
        <w:rPr>
          <w:color w:val="auto"/>
          <w:lang w:val="en-GB"/>
        </w:rPr>
        <w:t xml:space="preserve">oral therapy </w:t>
      </w:r>
      <w:r w:rsidRPr="009E5BAF">
        <w:rPr>
          <w:color w:val="auto"/>
          <w:lang w:val="en-GB"/>
        </w:rPr>
        <w:t>as soon as patient can swallow</w:t>
      </w:r>
      <w:r>
        <w:rPr>
          <w:color w:val="auto"/>
          <w:lang w:val="en-GB"/>
        </w:rPr>
        <w:t xml:space="preserve"> </w:t>
      </w:r>
      <w:r w:rsidRPr="009E5BAF">
        <w:rPr>
          <w:color w:val="auto"/>
          <w:lang w:val="en-GB"/>
        </w:rPr>
        <w:t>and the tem</w:t>
      </w:r>
      <w:r>
        <w:rPr>
          <w:color w:val="auto"/>
          <w:lang w:val="en-GB"/>
        </w:rPr>
        <w:t>perature is &lt;37.8</w:t>
      </w:r>
      <w:r w:rsidR="009434C3" w:rsidRPr="009434C3">
        <w:rPr>
          <w:color w:val="auto"/>
          <w:vertAlign w:val="superscript"/>
          <w:lang w:val="en-GB"/>
        </w:rPr>
        <w:t>o</w:t>
      </w:r>
      <w:r w:rsidR="00042AAB">
        <w:rPr>
          <w:color w:val="auto"/>
          <w:lang w:val="en-GB"/>
        </w:rPr>
        <w:t>C</w:t>
      </w:r>
      <w:r>
        <w:rPr>
          <w:color w:val="auto"/>
          <w:lang w:val="en-GB"/>
        </w:rPr>
        <w:t xml:space="preserve"> for 24 hours, based on culture results:</w:t>
      </w:r>
    </w:p>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
      </w:tblGrid>
      <w:tr w:rsidR="005E1933" w:rsidRPr="00DA6CD1" w14:paraId="75F6F2DC" w14:textId="77777777" w:rsidTr="000C5645">
        <w:tc>
          <w:tcPr>
            <w:tcW w:w="1134" w:type="dxa"/>
            <w:shd w:val="clear" w:color="auto" w:fill="auto"/>
          </w:tcPr>
          <w:p w14:paraId="388F8BE7" w14:textId="6C494A96" w:rsidR="005E1933" w:rsidRPr="00DA6CD1" w:rsidRDefault="005E1933" w:rsidP="000C5645">
            <w:pPr>
              <w:jc w:val="right"/>
              <w:rPr>
                <w:b/>
                <w:i/>
                <w:sz w:val="16"/>
              </w:rPr>
            </w:pPr>
            <w:proofErr w:type="spellStart"/>
            <w:r w:rsidRPr="00DA6CD1">
              <w:rPr>
                <w:i/>
                <w:sz w:val="16"/>
              </w:rPr>
              <w:t>LoE:III</w:t>
            </w:r>
            <w:r w:rsidR="00DA6CD1">
              <w:rPr>
                <w:i/>
                <w:sz w:val="16"/>
              </w:rPr>
              <w:t>b</w:t>
            </w:r>
            <w:proofErr w:type="spellEnd"/>
            <w:r w:rsidRPr="00DA6CD1">
              <w:rPr>
                <w:i/>
                <w:sz w:val="16"/>
                <w:vertAlign w:val="superscript"/>
              </w:rPr>
              <w:endnoteReference w:id="12"/>
            </w:r>
          </w:p>
        </w:tc>
      </w:tr>
    </w:tbl>
    <w:p w14:paraId="1DCFC8E0" w14:textId="77777777" w:rsidR="00D31934" w:rsidRPr="00DA6CD1" w:rsidRDefault="00D31934" w:rsidP="00D31934">
      <w:pPr>
        <w:pStyle w:val="Medicinebullet1"/>
        <w:tabs>
          <w:tab w:val="left" w:pos="0"/>
        </w:tabs>
        <w:rPr>
          <w:rFonts w:cs="Arial"/>
          <w:sz w:val="2"/>
          <w:lang w:val="en-GB"/>
        </w:rPr>
      </w:pPr>
    </w:p>
    <w:p w14:paraId="475A0308" w14:textId="17DA40E6" w:rsidR="006D4FB6" w:rsidRPr="00DA6CD1" w:rsidRDefault="006D4FB6" w:rsidP="00D024FB">
      <w:pPr>
        <w:pStyle w:val="Medicinebullet1"/>
        <w:numPr>
          <w:ilvl w:val="0"/>
          <w:numId w:val="3"/>
        </w:numPr>
        <w:ind w:left="284" w:hanging="284"/>
        <w:rPr>
          <w:rFonts w:cs="Arial"/>
          <w:lang w:val="en-GB"/>
        </w:rPr>
      </w:pPr>
      <w:r w:rsidRPr="00DA6CD1">
        <w:rPr>
          <w:rFonts w:cs="Arial"/>
          <w:lang w:val="en-GB"/>
        </w:rPr>
        <w:t xml:space="preserve">Clindamycin, oral, </w:t>
      </w:r>
      <w:r w:rsidR="005E1933" w:rsidRPr="00DA6CD1">
        <w:rPr>
          <w:rFonts w:cs="Arial"/>
          <w:lang w:val="en-GB"/>
        </w:rPr>
        <w:t xml:space="preserve">450 </w:t>
      </w:r>
      <w:r w:rsidR="00ED5DC0" w:rsidRPr="00DA6CD1">
        <w:rPr>
          <w:rFonts w:cs="Arial"/>
          <w:lang w:val="en-GB"/>
        </w:rPr>
        <w:t>mg</w:t>
      </w:r>
      <w:r w:rsidRPr="00DA6CD1">
        <w:rPr>
          <w:rFonts w:cs="Arial"/>
          <w:lang w:val="en-GB"/>
        </w:rPr>
        <w:t xml:space="preserve"> 8 hourly</w:t>
      </w:r>
      <w:r w:rsidR="00042AAB" w:rsidRPr="00DA6CD1">
        <w:rPr>
          <w:rFonts w:cs="Arial"/>
          <w:lang w:val="en-GB"/>
        </w:rPr>
        <w:t>, and</w:t>
      </w:r>
    </w:p>
    <w:p w14:paraId="63331296" w14:textId="77777777" w:rsidR="008B248B" w:rsidRPr="0040596D" w:rsidRDefault="008B248B" w:rsidP="006D4FB6">
      <w:pPr>
        <w:rPr>
          <w:color w:val="auto"/>
          <w:sz w:val="10"/>
          <w:lang w:val="en-GB"/>
        </w:rPr>
      </w:pPr>
    </w:p>
    <w:p w14:paraId="395CE5AD" w14:textId="4BCF6D53" w:rsidR="00851D65" w:rsidRPr="00F36CEB" w:rsidRDefault="00851D65" w:rsidP="00851D65">
      <w:pPr>
        <w:rPr>
          <w:color w:val="auto"/>
          <w:u w:val="single"/>
          <w:lang w:val="en-GB"/>
        </w:rPr>
      </w:pPr>
      <w:r w:rsidRPr="00F36CEB">
        <w:rPr>
          <w:color w:val="auto"/>
          <w:u w:val="single"/>
          <w:lang w:val="en-GB"/>
        </w:rPr>
        <w:t xml:space="preserve">Check </w:t>
      </w:r>
      <w:r w:rsidR="00313688">
        <w:rPr>
          <w:color w:val="auto"/>
          <w:u w:val="single"/>
          <w:lang w:val="en-GB"/>
        </w:rPr>
        <w:t>G</w:t>
      </w:r>
      <w:r w:rsidRPr="00F36CEB">
        <w:rPr>
          <w:color w:val="auto"/>
          <w:u w:val="single"/>
          <w:lang w:val="en-GB"/>
        </w:rPr>
        <w:t xml:space="preserve">ram stain of exudate. If </w:t>
      </w:r>
      <w:r w:rsidR="00313688">
        <w:rPr>
          <w:color w:val="auto"/>
          <w:u w:val="single"/>
          <w:lang w:val="en-GB"/>
        </w:rPr>
        <w:t>G</w:t>
      </w:r>
      <w:r w:rsidRPr="00F36CEB">
        <w:rPr>
          <w:color w:val="auto"/>
          <w:u w:val="single"/>
          <w:lang w:val="en-GB"/>
        </w:rPr>
        <w:t xml:space="preserve">ram negative organism: </w:t>
      </w:r>
    </w:p>
    <w:p w14:paraId="3BE3E7E1" w14:textId="77777777" w:rsidR="00851D65" w:rsidRDefault="00851D65" w:rsidP="00851D65">
      <w:pPr>
        <w:rPr>
          <w:b/>
          <w:color w:val="auto"/>
          <w:lang w:val="en-GB"/>
        </w:rPr>
      </w:pPr>
      <w:r w:rsidRPr="00851D65">
        <w:rPr>
          <w:b/>
          <w:color w:val="auto"/>
          <w:lang w:val="en-GB"/>
        </w:rPr>
        <w:t>ADD</w:t>
      </w:r>
    </w:p>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
      </w:tblGrid>
      <w:tr w:rsidR="00D024FB" w:rsidRPr="00CD397D" w14:paraId="09197BF0" w14:textId="77777777" w:rsidTr="00D024FB">
        <w:tc>
          <w:tcPr>
            <w:tcW w:w="1134" w:type="dxa"/>
            <w:shd w:val="clear" w:color="auto" w:fill="auto"/>
          </w:tcPr>
          <w:p w14:paraId="6D8B03B0" w14:textId="32B0F2BB" w:rsidR="00D024FB" w:rsidRPr="00CD397D" w:rsidRDefault="00D024FB" w:rsidP="00D024FB">
            <w:pPr>
              <w:jc w:val="right"/>
              <w:rPr>
                <w:b/>
                <w:i/>
                <w:sz w:val="16"/>
              </w:rPr>
            </w:pPr>
            <w:proofErr w:type="spellStart"/>
            <w:r w:rsidRPr="00CD397D">
              <w:rPr>
                <w:i/>
                <w:sz w:val="16"/>
              </w:rPr>
              <w:t>LoE:I</w:t>
            </w:r>
            <w:r w:rsidR="00DA6CD1">
              <w:rPr>
                <w:i/>
                <w:sz w:val="16"/>
              </w:rPr>
              <w:t>a</w:t>
            </w:r>
            <w:proofErr w:type="spellEnd"/>
            <w:r w:rsidRPr="00CD397D">
              <w:rPr>
                <w:i/>
                <w:sz w:val="16"/>
                <w:vertAlign w:val="superscript"/>
              </w:rPr>
              <w:endnoteReference w:id="13"/>
            </w:r>
          </w:p>
        </w:tc>
      </w:tr>
    </w:tbl>
    <w:p w14:paraId="314367E6" w14:textId="77777777" w:rsidR="00C039EE" w:rsidRPr="00851D65" w:rsidRDefault="00851D65" w:rsidP="00D024FB">
      <w:pPr>
        <w:pStyle w:val="Medicinebullet1"/>
        <w:numPr>
          <w:ilvl w:val="0"/>
          <w:numId w:val="3"/>
        </w:numPr>
        <w:ind w:left="284" w:hanging="284"/>
        <w:rPr>
          <w:lang w:val="en-GB"/>
        </w:rPr>
      </w:pPr>
      <w:r w:rsidRPr="00851D65">
        <w:rPr>
          <w:lang w:val="en-GB"/>
        </w:rPr>
        <w:t>Ertapenem, IV, 1g daily</w:t>
      </w:r>
      <w:r w:rsidR="00121A43">
        <w:rPr>
          <w:lang w:val="en-GB"/>
        </w:rPr>
        <w:t xml:space="preserve">. </w:t>
      </w:r>
    </w:p>
    <w:p w14:paraId="62BDB4E9" w14:textId="77777777" w:rsidR="0052187C" w:rsidRDefault="0052187C" w:rsidP="006D4FB6">
      <w:pPr>
        <w:rPr>
          <w:b/>
          <w:lang w:val="en-GB"/>
        </w:rPr>
      </w:pPr>
    </w:p>
    <w:p w14:paraId="35CFB0BE" w14:textId="77777777" w:rsidR="000018CA" w:rsidRDefault="006D4FB6" w:rsidP="006D4FB6">
      <w:pPr>
        <w:rPr>
          <w:b/>
          <w:lang w:val="en-GB"/>
        </w:rPr>
      </w:pPr>
      <w:r w:rsidRPr="00802C75">
        <w:rPr>
          <w:b/>
          <w:lang w:val="en-GB"/>
        </w:rPr>
        <w:t xml:space="preserve">Methicillin (cloxacillin) </w:t>
      </w:r>
      <w:proofErr w:type="spellStart"/>
      <w:r w:rsidRPr="00802C75">
        <w:rPr>
          <w:b/>
          <w:lang w:val="en-GB"/>
        </w:rPr>
        <w:t>reistant</w:t>
      </w:r>
      <w:proofErr w:type="spellEnd"/>
      <w:r w:rsidRPr="00802C75">
        <w:rPr>
          <w:b/>
          <w:lang w:val="en-GB"/>
        </w:rPr>
        <w:t xml:space="preserve"> </w:t>
      </w:r>
      <w:r w:rsidRPr="00802C75">
        <w:rPr>
          <w:b/>
          <w:i/>
          <w:lang w:val="en-GB"/>
        </w:rPr>
        <w:t>S. aureus</w:t>
      </w:r>
      <w:r w:rsidRPr="00802C75">
        <w:rPr>
          <w:b/>
          <w:lang w:val="en-GB"/>
        </w:rPr>
        <w:t xml:space="preserve"> (MRSA)</w:t>
      </w:r>
      <w:r w:rsidR="00A468AA">
        <w:rPr>
          <w:b/>
          <w:lang w:val="en-GB"/>
        </w:rPr>
        <w:t xml:space="preserve"> </w:t>
      </w:r>
    </w:p>
    <w:p w14:paraId="16A474B0" w14:textId="541E9F3C" w:rsidR="006D4FB6" w:rsidRPr="00A468AA" w:rsidRDefault="000018CA" w:rsidP="006D4FB6">
      <w:pPr>
        <w:rPr>
          <w:sz w:val="16"/>
          <w:lang w:val="en-GB"/>
        </w:rPr>
      </w:pPr>
      <w:r w:rsidRPr="000018CA">
        <w:rPr>
          <w:sz w:val="16"/>
          <w:lang w:val="en-GB"/>
        </w:rPr>
        <w:t>T81.4+</w:t>
      </w:r>
      <w:r w:rsidRPr="000018CA">
        <w:rPr>
          <w:b/>
          <w:sz w:val="16"/>
          <w:lang w:val="en-GB"/>
        </w:rPr>
        <w:t xml:space="preserve"> </w:t>
      </w:r>
      <w:r w:rsidR="00A468AA">
        <w:rPr>
          <w:sz w:val="16"/>
          <w:lang w:val="en-GB"/>
        </w:rPr>
        <w:t>(B95.6+U82.1+Y83.9)</w:t>
      </w:r>
    </w:p>
    <w:p w14:paraId="3E1D5024" w14:textId="766B56EC" w:rsidR="00B700C0" w:rsidRPr="00802C75" w:rsidRDefault="00B700C0" w:rsidP="00D024FB">
      <w:pPr>
        <w:pStyle w:val="Medicinebullet1"/>
        <w:widowControl w:val="0"/>
        <w:numPr>
          <w:ilvl w:val="0"/>
          <w:numId w:val="3"/>
        </w:numPr>
        <w:ind w:left="284" w:hanging="284"/>
        <w:jc w:val="both"/>
        <w:rPr>
          <w:rFonts w:cs="Arial"/>
          <w:lang w:val="en-GB"/>
        </w:rPr>
      </w:pPr>
      <w:r w:rsidRPr="00802C75">
        <w:rPr>
          <w:rFonts w:cs="Arial"/>
          <w:lang w:val="en-GB"/>
        </w:rPr>
        <w:t xml:space="preserve">Vancomycin, IV, </w:t>
      </w:r>
      <w:r w:rsidR="0080481F">
        <w:rPr>
          <w:rFonts w:cs="Arial"/>
          <w:lang w:val="en-GB"/>
        </w:rPr>
        <w:t>25</w:t>
      </w:r>
      <w:r w:rsidR="004721F1">
        <w:rPr>
          <w:rFonts w:cs="Arial"/>
          <w:lang w:val="en-GB"/>
        </w:rPr>
        <w:t>–</w:t>
      </w:r>
      <w:r w:rsidRPr="00802C75">
        <w:rPr>
          <w:rFonts w:cs="Arial"/>
          <w:lang w:val="en-GB"/>
        </w:rPr>
        <w:t xml:space="preserve">30 mg/kg as a loading dose. Follow with </w:t>
      </w:r>
      <w:r w:rsidR="0080481F">
        <w:rPr>
          <w:rFonts w:cs="Arial"/>
          <w:lang w:val="en-GB"/>
        </w:rPr>
        <w:t>15</w:t>
      </w:r>
      <w:r w:rsidR="004721F1">
        <w:rPr>
          <w:rFonts w:cs="Arial"/>
          <w:lang w:val="en-GB"/>
        </w:rPr>
        <w:t>–</w:t>
      </w:r>
      <w:r w:rsidRPr="00802C75">
        <w:rPr>
          <w:rFonts w:cs="Arial"/>
          <w:lang w:val="en-GB"/>
        </w:rPr>
        <w:t>20</w:t>
      </w:r>
      <w:r w:rsidR="004F29EE">
        <w:rPr>
          <w:rFonts w:cs="Arial"/>
          <w:lang w:val="en-GB"/>
        </w:rPr>
        <w:t xml:space="preserve"> </w:t>
      </w:r>
      <w:r w:rsidRPr="00802C75">
        <w:rPr>
          <w:rFonts w:cs="Arial"/>
          <w:lang w:val="en-GB"/>
        </w:rPr>
        <w:t>mg/kg/dose 12 hourly.</w:t>
      </w:r>
      <w:r w:rsidR="00546EAC" w:rsidRPr="00802C75">
        <w:rPr>
          <w:rFonts w:cs="Arial"/>
          <w:lang w:val="en-GB"/>
        </w:rPr>
        <w:t xml:space="preserve"> (See </w:t>
      </w:r>
      <w:r w:rsidR="00767B35">
        <w:rPr>
          <w:rFonts w:cs="Arial"/>
          <w:lang w:val="en-GB"/>
        </w:rPr>
        <w:t xml:space="preserve">Appendix </w:t>
      </w:r>
      <w:r w:rsidR="00485AB9">
        <w:rPr>
          <w:rFonts w:cs="Arial"/>
          <w:lang w:val="en-GB"/>
        </w:rPr>
        <w:t>I</w:t>
      </w:r>
      <w:r w:rsidR="00C20D60">
        <w:rPr>
          <w:rFonts w:cs="Arial"/>
          <w:lang w:val="en-GB"/>
        </w:rPr>
        <w:t>I</w:t>
      </w:r>
      <w:r w:rsidR="00313688">
        <w:rPr>
          <w:rFonts w:cs="Arial"/>
          <w:lang w:val="en-GB"/>
        </w:rPr>
        <w:t xml:space="preserve"> </w:t>
      </w:r>
      <w:r w:rsidR="00546EAC" w:rsidRPr="00802C75">
        <w:rPr>
          <w:rFonts w:cs="Arial"/>
          <w:lang w:val="en-GB"/>
        </w:rPr>
        <w:t xml:space="preserve">for </w:t>
      </w:r>
      <w:r w:rsidR="00485AB9">
        <w:rPr>
          <w:rFonts w:cs="Arial"/>
          <w:lang w:val="en-GB"/>
        </w:rPr>
        <w:t xml:space="preserve">guidance on </w:t>
      </w:r>
      <w:r w:rsidR="00546EAC" w:rsidRPr="00802C75">
        <w:rPr>
          <w:rFonts w:cs="Arial"/>
          <w:lang w:val="en-GB"/>
        </w:rPr>
        <w:t>prescribing and monitoring).</w:t>
      </w:r>
    </w:p>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
      </w:tblGrid>
      <w:tr w:rsidR="004721F1" w:rsidRPr="007113C4" w14:paraId="074E4749" w14:textId="77777777" w:rsidTr="00354AF5">
        <w:tc>
          <w:tcPr>
            <w:tcW w:w="1134" w:type="dxa"/>
            <w:shd w:val="clear" w:color="auto" w:fill="auto"/>
          </w:tcPr>
          <w:p w14:paraId="288166B7" w14:textId="25EBB2D7" w:rsidR="004721F1" w:rsidRPr="00AE506D" w:rsidRDefault="004721F1" w:rsidP="00354AF5">
            <w:pPr>
              <w:jc w:val="right"/>
              <w:rPr>
                <w:b/>
                <w:i/>
                <w:sz w:val="16"/>
              </w:rPr>
            </w:pPr>
            <w:proofErr w:type="spellStart"/>
            <w:r w:rsidRPr="00AE506D">
              <w:rPr>
                <w:i/>
                <w:sz w:val="16"/>
              </w:rPr>
              <w:t>LoE:II</w:t>
            </w:r>
            <w:r>
              <w:rPr>
                <w:i/>
                <w:sz w:val="16"/>
              </w:rPr>
              <w:t>Ib</w:t>
            </w:r>
            <w:proofErr w:type="spellEnd"/>
            <w:r w:rsidRPr="00AE506D">
              <w:rPr>
                <w:i/>
                <w:sz w:val="16"/>
                <w:vertAlign w:val="superscript"/>
              </w:rPr>
              <w:endnoteReference w:id="14"/>
            </w:r>
          </w:p>
        </w:tc>
      </w:tr>
    </w:tbl>
    <w:p w14:paraId="05984482" w14:textId="5559EBC0" w:rsidR="0000666A" w:rsidRPr="00802C75" w:rsidRDefault="0000666A" w:rsidP="00D024FB">
      <w:pPr>
        <w:pStyle w:val="Medicinebullet1"/>
        <w:numPr>
          <w:ilvl w:val="0"/>
          <w:numId w:val="8"/>
        </w:numPr>
        <w:ind w:left="567" w:hanging="283"/>
        <w:rPr>
          <w:lang w:val="en-GB"/>
        </w:rPr>
      </w:pPr>
      <w:r>
        <w:rPr>
          <w:lang w:val="en-GB"/>
        </w:rPr>
        <w:t>Drain wound and obtain cultures to verify MRSA</w:t>
      </w:r>
      <w:r w:rsidR="00D024FB">
        <w:rPr>
          <w:lang w:val="en-GB"/>
        </w:rPr>
        <w:t>.</w:t>
      </w:r>
    </w:p>
    <w:p w14:paraId="3D88D105" w14:textId="77777777" w:rsidR="00130EBF" w:rsidRPr="005E1933" w:rsidRDefault="00130EBF" w:rsidP="006D4FB6">
      <w:pPr>
        <w:rPr>
          <w:sz w:val="14"/>
          <w:lang w:val="en-GB"/>
        </w:rPr>
      </w:pPr>
    </w:p>
    <w:p w14:paraId="66125E08" w14:textId="77777777" w:rsidR="000018CA" w:rsidRDefault="00CB690F" w:rsidP="006D4FB6">
      <w:pPr>
        <w:rPr>
          <w:b/>
          <w:lang w:val="en-GB"/>
        </w:rPr>
      </w:pPr>
      <w:r>
        <w:rPr>
          <w:b/>
          <w:lang w:val="en-GB"/>
        </w:rPr>
        <w:t xml:space="preserve">If </w:t>
      </w:r>
      <w:r w:rsidR="00A5669B" w:rsidRPr="00A5669B">
        <w:rPr>
          <w:b/>
          <w:lang w:val="en-GB"/>
        </w:rPr>
        <w:t xml:space="preserve">female </w:t>
      </w:r>
      <w:proofErr w:type="spellStart"/>
      <w:r w:rsidR="00A5669B" w:rsidRPr="00A5669B">
        <w:rPr>
          <w:b/>
          <w:lang w:val="en-GB"/>
        </w:rPr>
        <w:t>uro</w:t>
      </w:r>
      <w:proofErr w:type="spellEnd"/>
      <w:r w:rsidR="00A5669B" w:rsidRPr="00A5669B">
        <w:rPr>
          <w:b/>
          <w:lang w:val="en-GB"/>
        </w:rPr>
        <w:t>-genital tract</w:t>
      </w:r>
      <w:r w:rsidR="00042AAB">
        <w:rPr>
          <w:b/>
          <w:lang w:val="en-GB"/>
        </w:rPr>
        <w:t xml:space="preserve"> surgery</w:t>
      </w:r>
      <w:r>
        <w:rPr>
          <w:b/>
          <w:lang w:val="en-GB"/>
        </w:rPr>
        <w:t xml:space="preserve"> or</w:t>
      </w:r>
      <w:r w:rsidR="00A5669B" w:rsidRPr="00A5669B">
        <w:rPr>
          <w:b/>
          <w:lang w:val="en-GB"/>
        </w:rPr>
        <w:t xml:space="preserve"> open GIT surgery:</w:t>
      </w:r>
      <w:r w:rsidR="00A468AA">
        <w:rPr>
          <w:b/>
          <w:lang w:val="en-GB"/>
        </w:rPr>
        <w:t xml:space="preserve"> </w:t>
      </w:r>
    </w:p>
    <w:p w14:paraId="44C78395" w14:textId="79C718E1" w:rsidR="00EA6A02" w:rsidRPr="00CB690F" w:rsidRDefault="000018CA" w:rsidP="006D4FB6">
      <w:pPr>
        <w:rPr>
          <w:b/>
          <w:lang w:val="en-GB"/>
        </w:rPr>
      </w:pPr>
      <w:r w:rsidRPr="000018CA">
        <w:rPr>
          <w:sz w:val="16"/>
          <w:lang w:val="en-GB"/>
        </w:rPr>
        <w:t xml:space="preserve">T81.4 </w:t>
      </w:r>
      <w:r>
        <w:rPr>
          <w:lang w:val="en-GB"/>
        </w:rPr>
        <w:t>+</w:t>
      </w:r>
      <w:r w:rsidR="00A468AA">
        <w:rPr>
          <w:sz w:val="16"/>
          <w:lang w:val="en-GB"/>
        </w:rPr>
        <w:t>(Y83.6/Y83.8)</w:t>
      </w:r>
    </w:p>
    <w:p w14:paraId="350FD202" w14:textId="452D7075" w:rsidR="00EA6A02" w:rsidRPr="00802C75" w:rsidRDefault="005B69C4" w:rsidP="00D024FB">
      <w:pPr>
        <w:pStyle w:val="Medicinebullet1"/>
        <w:numPr>
          <w:ilvl w:val="0"/>
          <w:numId w:val="3"/>
        </w:numPr>
        <w:ind w:left="284" w:hanging="284"/>
        <w:rPr>
          <w:lang w:val="en-GB"/>
        </w:rPr>
      </w:pPr>
      <w:r w:rsidRPr="00802C75">
        <w:rPr>
          <w:lang w:val="en-GB"/>
        </w:rPr>
        <w:t xml:space="preserve">Ceftriaxone, IV, </w:t>
      </w:r>
      <w:r w:rsidR="0028079D">
        <w:rPr>
          <w:lang w:val="en-GB"/>
        </w:rPr>
        <w:t>2</w:t>
      </w:r>
      <w:r w:rsidR="004F29EE">
        <w:rPr>
          <w:lang w:val="en-GB"/>
        </w:rPr>
        <w:t xml:space="preserve"> </w:t>
      </w:r>
      <w:r w:rsidRPr="00802C75">
        <w:rPr>
          <w:lang w:val="en-GB"/>
        </w:rPr>
        <w:t>g daily</w:t>
      </w:r>
      <w:r w:rsidR="007762C9">
        <w:rPr>
          <w:lang w:val="en-GB"/>
        </w:rPr>
        <w:t>.</w:t>
      </w:r>
    </w:p>
    <w:p w14:paraId="3AF85943" w14:textId="77777777" w:rsidR="005E1933" w:rsidRPr="00802C75" w:rsidRDefault="000F7532" w:rsidP="006D4FB6">
      <w:pPr>
        <w:rPr>
          <w:b/>
          <w:lang w:val="en-GB"/>
        </w:rPr>
      </w:pPr>
      <w:r w:rsidRPr="00802C75">
        <w:rPr>
          <w:b/>
          <w:lang w:val="en-GB"/>
        </w:rPr>
        <w:t>AND</w:t>
      </w:r>
    </w:p>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
      </w:tblGrid>
      <w:tr w:rsidR="005E1933" w:rsidRPr="007113C4" w14:paraId="67A457B9" w14:textId="77777777" w:rsidTr="000C5645">
        <w:tc>
          <w:tcPr>
            <w:tcW w:w="1134" w:type="dxa"/>
            <w:shd w:val="clear" w:color="auto" w:fill="auto"/>
          </w:tcPr>
          <w:p w14:paraId="64854491" w14:textId="440939DC" w:rsidR="005E1933" w:rsidRPr="00AE506D" w:rsidRDefault="005E1933" w:rsidP="000C5645">
            <w:pPr>
              <w:jc w:val="right"/>
              <w:rPr>
                <w:b/>
                <w:i/>
                <w:sz w:val="16"/>
              </w:rPr>
            </w:pPr>
            <w:proofErr w:type="spellStart"/>
            <w:r w:rsidRPr="00AE506D">
              <w:rPr>
                <w:i/>
                <w:sz w:val="16"/>
              </w:rPr>
              <w:t>LoE:III</w:t>
            </w:r>
            <w:r w:rsidR="0066309A">
              <w:rPr>
                <w:i/>
                <w:sz w:val="16"/>
              </w:rPr>
              <w:t>b</w:t>
            </w:r>
            <w:proofErr w:type="spellEnd"/>
            <w:r w:rsidRPr="00AE506D">
              <w:rPr>
                <w:i/>
                <w:sz w:val="16"/>
                <w:vertAlign w:val="superscript"/>
              </w:rPr>
              <w:endnoteReference w:id="15"/>
            </w:r>
          </w:p>
        </w:tc>
      </w:tr>
    </w:tbl>
    <w:p w14:paraId="26C64760" w14:textId="77777777" w:rsidR="00EA6A02" w:rsidRPr="005E1933" w:rsidRDefault="00EA6A02" w:rsidP="006D4FB6">
      <w:pPr>
        <w:rPr>
          <w:sz w:val="2"/>
          <w:lang w:val="en-GB"/>
        </w:rPr>
      </w:pPr>
    </w:p>
    <w:p w14:paraId="1FACE852" w14:textId="19D6322A" w:rsidR="00EA6A02" w:rsidRDefault="005B69C4" w:rsidP="00D024FB">
      <w:pPr>
        <w:pStyle w:val="Medicinebullet1"/>
        <w:numPr>
          <w:ilvl w:val="0"/>
          <w:numId w:val="3"/>
        </w:numPr>
        <w:ind w:left="284" w:hanging="284"/>
        <w:rPr>
          <w:lang w:val="en-GB"/>
        </w:rPr>
      </w:pPr>
      <w:r w:rsidRPr="00802C75">
        <w:rPr>
          <w:lang w:val="en-GB"/>
        </w:rPr>
        <w:t>Metronidazole, IV, 500 mg 8 hourly</w:t>
      </w:r>
      <w:r w:rsidR="007762C9">
        <w:rPr>
          <w:lang w:val="en-GB"/>
        </w:rPr>
        <w:t>.</w:t>
      </w:r>
    </w:p>
    <w:p w14:paraId="47595F57" w14:textId="3F4B443E" w:rsidR="00F93110" w:rsidRDefault="00F93110" w:rsidP="006D4FB6">
      <w:pPr>
        <w:rPr>
          <w:lang w:val="en-GB"/>
        </w:rPr>
      </w:pPr>
    </w:p>
    <w:p w14:paraId="4AAB665F" w14:textId="66E61882" w:rsidR="006D4FB6" w:rsidRPr="00802C75" w:rsidRDefault="006D4FB6" w:rsidP="006D4FB6">
      <w:pPr>
        <w:pStyle w:val="Heading2"/>
        <w:rPr>
          <w:sz w:val="22"/>
          <w:szCs w:val="22"/>
          <w:lang w:val="en-GB"/>
        </w:rPr>
      </w:pPr>
      <w:r w:rsidRPr="00802C75">
        <w:rPr>
          <w:sz w:val="22"/>
          <w:szCs w:val="22"/>
          <w:lang w:val="en-GB"/>
        </w:rPr>
        <w:lastRenderedPageBreak/>
        <w:t>9.1.3 Hospital-acquired pneumonia</w:t>
      </w:r>
      <w:r w:rsidR="00767B35">
        <w:rPr>
          <w:sz w:val="22"/>
          <w:szCs w:val="22"/>
          <w:lang w:val="en-GB"/>
        </w:rPr>
        <w:t xml:space="preserve"> (HAP)</w:t>
      </w:r>
      <w:r w:rsidR="00321E69">
        <w:rPr>
          <w:sz w:val="22"/>
          <w:szCs w:val="22"/>
          <w:lang w:val="en-GB"/>
        </w:rPr>
        <w:t xml:space="preserve"> and VENTILATOR-ASSOCIATED PNEUMONIA (VAP)</w:t>
      </w:r>
    </w:p>
    <w:p w14:paraId="2C831537" w14:textId="6165943E" w:rsidR="006D4FB6" w:rsidRPr="00802C75" w:rsidRDefault="00630B3C" w:rsidP="006D4FB6">
      <w:pPr>
        <w:pStyle w:val="ICD10heading"/>
        <w:rPr>
          <w:lang w:val="en-GB"/>
        </w:rPr>
      </w:pPr>
      <w:r>
        <w:rPr>
          <w:lang w:val="en-GB"/>
        </w:rPr>
        <w:t>J12.0-3/J12.8-9/J13/J14/</w:t>
      </w:r>
      <w:r w:rsidR="00A468AA">
        <w:rPr>
          <w:lang w:val="en-GB"/>
        </w:rPr>
        <w:t>J15.0-9/J16.</w:t>
      </w:r>
      <w:r>
        <w:rPr>
          <w:lang w:val="en-GB"/>
        </w:rPr>
        <w:t>0/J16.8/J18.0-2</w:t>
      </w:r>
      <w:r w:rsidR="00A468AA">
        <w:rPr>
          <w:lang w:val="en-GB"/>
        </w:rPr>
        <w:t>/J18.8-9</w:t>
      </w:r>
      <w:r>
        <w:rPr>
          <w:lang w:val="en-GB"/>
        </w:rPr>
        <w:t xml:space="preserve"> + (Y95)</w:t>
      </w:r>
    </w:p>
    <w:p w14:paraId="3BD1BC7E" w14:textId="77777777" w:rsidR="009118DE" w:rsidRPr="00802C75" w:rsidRDefault="009118DE" w:rsidP="006D4FB6">
      <w:pPr>
        <w:rPr>
          <w:sz w:val="16"/>
          <w:szCs w:val="16"/>
          <w:lang w:val="en-GB"/>
        </w:rPr>
      </w:pPr>
    </w:p>
    <w:p w14:paraId="117B5257" w14:textId="2363ECD1" w:rsidR="00A50DD9" w:rsidRDefault="00A50DD9" w:rsidP="00A50DD9">
      <w:pPr>
        <w:pStyle w:val="Medicinebullet1"/>
        <w:jc w:val="both"/>
        <w:rPr>
          <w:lang w:val="en-GB"/>
        </w:rPr>
      </w:pPr>
      <w:r w:rsidRPr="007812FA">
        <w:rPr>
          <w:b/>
          <w:bCs/>
          <w:lang w:val="en-GB"/>
        </w:rPr>
        <w:t>Note:</w:t>
      </w:r>
      <w:r w:rsidRPr="007812FA">
        <w:rPr>
          <w:lang w:val="en-GB"/>
        </w:rPr>
        <w:t xml:space="preserve"> If patient is neutropaenic - See section 2.2: Febrile neutropenia.</w:t>
      </w:r>
    </w:p>
    <w:p w14:paraId="6FC63246" w14:textId="77777777" w:rsidR="00A50DD9" w:rsidRDefault="00A50DD9" w:rsidP="006D4FB6">
      <w:pPr>
        <w:pStyle w:val="Heading3"/>
        <w:rPr>
          <w:szCs w:val="20"/>
          <w:lang w:val="en-GB"/>
        </w:rPr>
      </w:pPr>
    </w:p>
    <w:p w14:paraId="7838FB9F" w14:textId="1BED0ADB" w:rsidR="006D4FB6" w:rsidRPr="00802C75" w:rsidRDefault="006D4FB6" w:rsidP="006D4FB6">
      <w:pPr>
        <w:pStyle w:val="Heading3"/>
        <w:rPr>
          <w:szCs w:val="20"/>
          <w:lang w:val="en-GB"/>
        </w:rPr>
      </w:pPr>
      <w:r w:rsidRPr="00802C75">
        <w:rPr>
          <w:szCs w:val="20"/>
          <w:lang w:val="en-GB"/>
        </w:rPr>
        <w:t>description</w:t>
      </w:r>
    </w:p>
    <w:p w14:paraId="3D19F866" w14:textId="766504FD" w:rsidR="001863FB" w:rsidRPr="00D170F3" w:rsidRDefault="00EF60DA" w:rsidP="006D4FB6">
      <w:pPr>
        <w:rPr>
          <w:color w:val="auto"/>
          <w:lang w:val="en-GB"/>
        </w:rPr>
      </w:pPr>
      <w:r w:rsidRPr="00D170F3">
        <w:rPr>
          <w:color w:val="auto"/>
          <w:lang w:val="en-GB"/>
        </w:rPr>
        <w:t xml:space="preserve">HAP is defined as a </w:t>
      </w:r>
      <w:r w:rsidR="00EB5C2F" w:rsidRPr="00D170F3">
        <w:rPr>
          <w:color w:val="auto"/>
          <w:shd w:val="clear" w:color="auto" w:fill="FFFFFF"/>
        </w:rPr>
        <w:t>new lung infiltrate</w:t>
      </w:r>
      <w:r w:rsidR="008E7690" w:rsidRPr="00D170F3">
        <w:rPr>
          <w:color w:val="auto"/>
          <w:shd w:val="clear" w:color="auto" w:fill="FFFFFF"/>
        </w:rPr>
        <w:t xml:space="preserve"> (</w:t>
      </w:r>
      <w:proofErr w:type="gramStart"/>
      <w:r w:rsidR="008E7690" w:rsidRPr="00D170F3">
        <w:rPr>
          <w:color w:val="auto"/>
          <w:shd w:val="clear" w:color="auto" w:fill="FFFFFF"/>
        </w:rPr>
        <w:t xml:space="preserve">not </w:t>
      </w:r>
      <w:r w:rsidR="00EB5C2F" w:rsidRPr="00D170F3">
        <w:rPr>
          <w:color w:val="auto"/>
          <w:shd w:val="clear" w:color="auto" w:fill="FFFFFF"/>
        </w:rPr>
        <w:t xml:space="preserve"> </w:t>
      </w:r>
      <w:r w:rsidR="008E7690" w:rsidRPr="00D170F3">
        <w:rPr>
          <w:color w:val="auto"/>
          <w:lang w:val="en-GB"/>
        </w:rPr>
        <w:t>present</w:t>
      </w:r>
      <w:proofErr w:type="gramEnd"/>
      <w:r w:rsidR="008E7690" w:rsidRPr="00D170F3">
        <w:rPr>
          <w:color w:val="auto"/>
          <w:lang w:val="en-GB"/>
        </w:rPr>
        <w:t xml:space="preserve"> on admission)</w:t>
      </w:r>
      <w:r w:rsidR="008E7690" w:rsidRPr="00D170F3">
        <w:rPr>
          <w:color w:val="auto"/>
          <w:shd w:val="clear" w:color="auto" w:fill="FFFFFF"/>
        </w:rPr>
        <w:t xml:space="preserve"> </w:t>
      </w:r>
      <w:r w:rsidR="00EB5C2F" w:rsidRPr="00D170F3">
        <w:rPr>
          <w:color w:val="auto"/>
          <w:shd w:val="clear" w:color="auto" w:fill="FFFFFF"/>
        </w:rPr>
        <w:t>plus clinical evidence that the infiltrate is an infectio</w:t>
      </w:r>
      <w:r w:rsidR="00F95A65" w:rsidRPr="00D170F3">
        <w:rPr>
          <w:color w:val="auto"/>
          <w:shd w:val="clear" w:color="auto" w:fill="FFFFFF"/>
        </w:rPr>
        <w:t>n (e.g.</w:t>
      </w:r>
      <w:r w:rsidR="00EB5C2F" w:rsidRPr="00D170F3">
        <w:rPr>
          <w:color w:val="auto"/>
          <w:shd w:val="clear" w:color="auto" w:fill="FFFFFF"/>
        </w:rPr>
        <w:t xml:space="preserve"> new onset of fever, purulent sputum, </w:t>
      </w:r>
      <w:proofErr w:type="spellStart"/>
      <w:r w:rsidR="00EB5C2F" w:rsidRPr="00D170F3">
        <w:rPr>
          <w:color w:val="auto"/>
          <w:shd w:val="clear" w:color="auto" w:fill="FFFFFF"/>
        </w:rPr>
        <w:t>leukocytosis</w:t>
      </w:r>
      <w:proofErr w:type="spellEnd"/>
      <w:r w:rsidR="004564E2" w:rsidRPr="00D170F3">
        <w:rPr>
          <w:color w:val="auto"/>
          <w:shd w:val="clear" w:color="auto" w:fill="FFFFFF"/>
        </w:rPr>
        <w:t>)</w:t>
      </w:r>
      <w:r w:rsidR="004564E2" w:rsidRPr="00D170F3" w:rsidDel="004564E2">
        <w:rPr>
          <w:color w:val="auto"/>
          <w:lang w:val="en-GB"/>
        </w:rPr>
        <w:t xml:space="preserve"> </w:t>
      </w:r>
      <w:r w:rsidRPr="00D170F3">
        <w:rPr>
          <w:color w:val="auto"/>
          <w:lang w:val="en-GB"/>
        </w:rPr>
        <w:t xml:space="preserve"> occu</w:t>
      </w:r>
      <w:r w:rsidR="00F860A5" w:rsidRPr="00D170F3">
        <w:rPr>
          <w:color w:val="auto"/>
          <w:lang w:val="en-GB"/>
        </w:rPr>
        <w:t>r</w:t>
      </w:r>
      <w:r w:rsidRPr="00D170F3">
        <w:rPr>
          <w:color w:val="auto"/>
          <w:lang w:val="en-GB"/>
        </w:rPr>
        <w:t>ring &gt;48</w:t>
      </w:r>
      <w:r w:rsidR="00DA1922" w:rsidRPr="00D170F3">
        <w:rPr>
          <w:color w:val="auto"/>
          <w:lang w:val="en-GB"/>
        </w:rPr>
        <w:t xml:space="preserve"> </w:t>
      </w:r>
      <w:r w:rsidRPr="00D170F3">
        <w:rPr>
          <w:color w:val="auto"/>
          <w:lang w:val="en-GB"/>
        </w:rPr>
        <w:t>h</w:t>
      </w:r>
      <w:r w:rsidR="00525C10" w:rsidRPr="00D170F3">
        <w:rPr>
          <w:color w:val="auto"/>
          <w:lang w:val="en-GB"/>
        </w:rPr>
        <w:t>our</w:t>
      </w:r>
      <w:r w:rsidRPr="00D170F3">
        <w:rPr>
          <w:color w:val="auto"/>
          <w:lang w:val="en-GB"/>
        </w:rPr>
        <w:t>s after admission to hospital.</w:t>
      </w:r>
      <w:r w:rsidR="00A543DD" w:rsidRPr="00D170F3">
        <w:rPr>
          <w:color w:val="auto"/>
          <w:lang w:val="en-GB"/>
        </w:rPr>
        <w:t xml:space="preserve"> </w:t>
      </w:r>
      <w:r w:rsidR="0048432D" w:rsidRPr="00D170F3">
        <w:rPr>
          <w:color w:val="auto"/>
          <w:lang w:val="en-GB"/>
        </w:rPr>
        <w:t xml:space="preserve">HAP has a high morbidity and </w:t>
      </w:r>
      <w:proofErr w:type="gramStart"/>
      <w:r w:rsidR="0048432D" w:rsidRPr="00D170F3">
        <w:rPr>
          <w:color w:val="auto"/>
          <w:lang w:val="en-GB"/>
        </w:rPr>
        <w:t>mortality</w:t>
      </w:r>
      <w:proofErr w:type="gramEnd"/>
      <w:r w:rsidR="0048432D" w:rsidRPr="00D170F3">
        <w:rPr>
          <w:color w:val="auto"/>
          <w:lang w:val="en-GB"/>
        </w:rPr>
        <w:t xml:space="preserve"> and early appropriate antibiotic therapy is essential. </w:t>
      </w:r>
    </w:p>
    <w:p w14:paraId="285B41CA" w14:textId="77777777" w:rsidR="001863FB" w:rsidRPr="00332747" w:rsidRDefault="001863FB" w:rsidP="006D4FB6">
      <w:pPr>
        <w:rPr>
          <w:sz w:val="6"/>
          <w:lang w:val="en-GB"/>
        </w:rPr>
      </w:pPr>
    </w:p>
    <w:p w14:paraId="18A8767B" w14:textId="77777777" w:rsidR="004D3AE7" w:rsidRPr="00802C75" w:rsidRDefault="00861DA6" w:rsidP="006D4FB6">
      <w:pPr>
        <w:rPr>
          <w:lang w:val="en-GB"/>
        </w:rPr>
      </w:pPr>
      <w:r w:rsidRPr="00802C75">
        <w:rPr>
          <w:lang w:val="en-GB"/>
        </w:rPr>
        <w:t xml:space="preserve">Infection </w:t>
      </w:r>
      <w:r w:rsidR="00E67D56">
        <w:rPr>
          <w:lang w:val="en-GB"/>
        </w:rPr>
        <w:t>may be</w:t>
      </w:r>
      <w:r w:rsidRPr="00802C75">
        <w:rPr>
          <w:lang w:val="en-GB"/>
        </w:rPr>
        <w:t xml:space="preserve"> due to multi</w:t>
      </w:r>
      <w:r w:rsidR="0034118E">
        <w:rPr>
          <w:lang w:val="en-GB"/>
        </w:rPr>
        <w:t>-</w:t>
      </w:r>
      <w:r w:rsidRPr="00802C75">
        <w:rPr>
          <w:lang w:val="en-GB"/>
        </w:rPr>
        <w:t>drug resistant organisms</w:t>
      </w:r>
      <w:r w:rsidR="00112113">
        <w:rPr>
          <w:lang w:val="en-GB"/>
        </w:rPr>
        <w:t>,</w:t>
      </w:r>
      <w:r w:rsidRPr="00802C75">
        <w:rPr>
          <w:lang w:val="en-GB"/>
        </w:rPr>
        <w:t xml:space="preserve"> particularly in </w:t>
      </w:r>
    </w:p>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
      </w:tblGrid>
      <w:tr w:rsidR="004D3AE7" w:rsidRPr="00AE506D" w14:paraId="5AF34981" w14:textId="77777777" w:rsidTr="007F7C88">
        <w:tc>
          <w:tcPr>
            <w:tcW w:w="1134" w:type="dxa"/>
            <w:shd w:val="clear" w:color="auto" w:fill="auto"/>
          </w:tcPr>
          <w:p w14:paraId="11D607BB" w14:textId="17011144" w:rsidR="004D3AE7" w:rsidRPr="00AE506D" w:rsidRDefault="004D3AE7" w:rsidP="004D3AE7">
            <w:pPr>
              <w:jc w:val="right"/>
              <w:rPr>
                <w:b/>
                <w:i/>
                <w:sz w:val="16"/>
              </w:rPr>
            </w:pPr>
            <w:proofErr w:type="spellStart"/>
            <w:r>
              <w:rPr>
                <w:i/>
                <w:sz w:val="16"/>
              </w:rPr>
              <w:t>LoE:</w:t>
            </w:r>
            <w:r w:rsidRPr="00AE506D">
              <w:rPr>
                <w:i/>
                <w:sz w:val="16"/>
              </w:rPr>
              <w:t>I</w:t>
            </w:r>
            <w:r w:rsidR="00613133">
              <w:rPr>
                <w:i/>
                <w:sz w:val="16"/>
              </w:rPr>
              <w:t>Ia</w:t>
            </w:r>
            <w:proofErr w:type="spellEnd"/>
            <w:r w:rsidRPr="00AE506D">
              <w:rPr>
                <w:i/>
                <w:sz w:val="16"/>
                <w:vertAlign w:val="superscript"/>
              </w:rPr>
              <w:endnoteReference w:id="16"/>
            </w:r>
          </w:p>
        </w:tc>
      </w:tr>
    </w:tbl>
    <w:p w14:paraId="4FF7A8F7" w14:textId="68D04308" w:rsidR="001863FB" w:rsidRPr="00802C75" w:rsidRDefault="00861DA6" w:rsidP="006D4FB6">
      <w:pPr>
        <w:rPr>
          <w:lang w:val="en-GB"/>
        </w:rPr>
      </w:pPr>
      <w:r w:rsidRPr="00802C75">
        <w:rPr>
          <w:lang w:val="en-GB"/>
        </w:rPr>
        <w:t xml:space="preserve">patients with </w:t>
      </w:r>
      <w:r w:rsidR="00FF7BB3">
        <w:rPr>
          <w:lang w:val="en-GB"/>
        </w:rPr>
        <w:t>prior intravenous antibiotic use</w:t>
      </w:r>
      <w:r w:rsidR="00AF0063">
        <w:rPr>
          <w:lang w:val="en-GB"/>
        </w:rPr>
        <w:t xml:space="preserve"> within 90 days</w:t>
      </w:r>
      <w:r w:rsidR="00FF7BB3">
        <w:rPr>
          <w:lang w:val="en-GB"/>
        </w:rPr>
        <w:t xml:space="preserve">. </w:t>
      </w:r>
      <w:r w:rsidRPr="00802C75">
        <w:rPr>
          <w:lang w:val="en-GB"/>
        </w:rPr>
        <w:t xml:space="preserve"> </w:t>
      </w:r>
    </w:p>
    <w:p w14:paraId="0D03E6F9" w14:textId="77777777" w:rsidR="001863FB" w:rsidRPr="00332747" w:rsidRDefault="001863FB" w:rsidP="006D4FB6">
      <w:pPr>
        <w:rPr>
          <w:sz w:val="6"/>
          <w:lang w:val="en-GB"/>
        </w:rPr>
      </w:pPr>
    </w:p>
    <w:p w14:paraId="16AA37C8" w14:textId="627105AA" w:rsidR="00EE463B" w:rsidRPr="00120D9F" w:rsidRDefault="0098043A" w:rsidP="00453E32">
      <w:pPr>
        <w:rPr>
          <w:spacing w:val="-2"/>
        </w:rPr>
      </w:pPr>
      <w:r w:rsidRPr="00120D9F">
        <w:rPr>
          <w:spacing w:val="-2"/>
          <w:lang w:val="en-GB"/>
        </w:rPr>
        <w:t xml:space="preserve">Ventilator-associated pneumonia </w:t>
      </w:r>
      <w:r w:rsidR="00E67D56" w:rsidRPr="00120D9F">
        <w:rPr>
          <w:spacing w:val="-2"/>
          <w:lang w:val="en-GB"/>
        </w:rPr>
        <w:t xml:space="preserve">(VAP) </w:t>
      </w:r>
      <w:r w:rsidR="00A50DD9">
        <w:rPr>
          <w:spacing w:val="-2"/>
          <w:lang w:val="en-GB"/>
        </w:rPr>
        <w:t>occurs</w:t>
      </w:r>
      <w:r w:rsidR="00291EC8" w:rsidRPr="00120D9F">
        <w:rPr>
          <w:spacing w:val="-2"/>
          <w:lang w:val="en-GB"/>
        </w:rPr>
        <w:t xml:space="preserve"> &gt;48 hours after intubation. VAP is</w:t>
      </w:r>
      <w:r w:rsidR="00E67D56" w:rsidRPr="00120D9F">
        <w:rPr>
          <w:spacing w:val="-2"/>
          <w:lang w:val="en-GB"/>
        </w:rPr>
        <w:t xml:space="preserve"> more often due to </w:t>
      </w:r>
      <w:r w:rsidR="002A5FA1" w:rsidRPr="00120D9F">
        <w:rPr>
          <w:spacing w:val="-2"/>
          <w:lang w:val="en-GB"/>
        </w:rPr>
        <w:t>multi-drug resistant organisms</w:t>
      </w:r>
      <w:r w:rsidR="00ED0382" w:rsidRPr="00120D9F">
        <w:rPr>
          <w:spacing w:val="-2"/>
          <w:lang w:val="en-GB"/>
        </w:rPr>
        <w:t xml:space="preserve"> than HAP</w:t>
      </w:r>
      <w:r w:rsidR="00157418" w:rsidRPr="00120D9F">
        <w:rPr>
          <w:spacing w:val="-2"/>
          <w:lang w:val="en-GB"/>
        </w:rPr>
        <w:t>.</w:t>
      </w:r>
      <w:r w:rsidR="00952153" w:rsidRPr="00120D9F">
        <w:rPr>
          <w:spacing w:val="-2"/>
        </w:rPr>
        <w:t xml:space="preserve"> </w:t>
      </w:r>
    </w:p>
    <w:p w14:paraId="35CC1689" w14:textId="77777777" w:rsidR="0098043A" w:rsidRPr="00120D9F" w:rsidRDefault="0098043A" w:rsidP="006D4FB6">
      <w:pPr>
        <w:rPr>
          <w:spacing w:val="-2"/>
          <w:sz w:val="6"/>
          <w:lang w:val="en-GB"/>
        </w:rPr>
      </w:pPr>
    </w:p>
    <w:p w14:paraId="69C091DB" w14:textId="4AD16513" w:rsidR="0000666A" w:rsidRPr="0040596D" w:rsidRDefault="006D4FB6" w:rsidP="006D4FB6">
      <w:pPr>
        <w:rPr>
          <w:spacing w:val="-2"/>
          <w:lang w:val="en-GB"/>
        </w:rPr>
      </w:pPr>
      <w:r w:rsidRPr="0040596D">
        <w:rPr>
          <w:spacing w:val="-2"/>
          <w:lang w:val="en-GB"/>
        </w:rPr>
        <w:t>Microbiologic specimen</w:t>
      </w:r>
      <w:r w:rsidR="00025459">
        <w:rPr>
          <w:spacing w:val="-2"/>
          <w:lang w:val="en-GB"/>
        </w:rPr>
        <w:t>s</w:t>
      </w:r>
      <w:r w:rsidRPr="0040596D">
        <w:rPr>
          <w:spacing w:val="-2"/>
          <w:lang w:val="en-GB"/>
        </w:rPr>
        <w:t>: blood culture and sputum/tracheal aspirate</w:t>
      </w:r>
      <w:r w:rsidR="00767B35" w:rsidRPr="0040596D">
        <w:rPr>
          <w:spacing w:val="-2"/>
          <w:lang w:val="en-GB"/>
        </w:rPr>
        <w:t xml:space="preserve"> bacterial culture</w:t>
      </w:r>
      <w:r w:rsidRPr="0040596D">
        <w:rPr>
          <w:spacing w:val="-2"/>
          <w:lang w:val="en-GB"/>
        </w:rPr>
        <w:t>.</w:t>
      </w:r>
      <w:r w:rsidR="0042748A" w:rsidRPr="0040596D">
        <w:rPr>
          <w:spacing w:val="-2"/>
          <w:lang w:val="en-GB"/>
        </w:rPr>
        <w:t xml:space="preserve"> Therapy should be adjusted according to culture result.</w:t>
      </w:r>
      <w:r w:rsidR="00234210">
        <w:rPr>
          <w:spacing w:val="-2"/>
          <w:lang w:val="en-GB"/>
        </w:rPr>
        <w:t xml:space="preserve"> </w:t>
      </w:r>
      <w:r w:rsidR="0000666A" w:rsidRPr="0040596D">
        <w:rPr>
          <w:spacing w:val="-2"/>
          <w:lang w:val="en-GB"/>
        </w:rPr>
        <w:t xml:space="preserve">A </w:t>
      </w:r>
      <w:r w:rsidR="004721F1" w:rsidRPr="0040596D">
        <w:rPr>
          <w:spacing w:val="-2"/>
          <w:lang w:val="en-GB"/>
        </w:rPr>
        <w:t>good quality</w:t>
      </w:r>
      <w:r w:rsidR="0000666A" w:rsidRPr="0040596D">
        <w:rPr>
          <w:spacing w:val="-2"/>
          <w:lang w:val="en-GB"/>
        </w:rPr>
        <w:t xml:space="preserve"> </w:t>
      </w:r>
      <w:r w:rsidR="00313688">
        <w:rPr>
          <w:spacing w:val="-2"/>
          <w:lang w:val="en-GB"/>
        </w:rPr>
        <w:t>G</w:t>
      </w:r>
      <w:r w:rsidR="0000666A" w:rsidRPr="0040596D">
        <w:rPr>
          <w:spacing w:val="-2"/>
          <w:lang w:val="en-GB"/>
        </w:rPr>
        <w:t>ram stain may be useful in guiding the choice of initial therapy.</w:t>
      </w:r>
    </w:p>
    <w:p w14:paraId="1BA86FA1" w14:textId="77777777" w:rsidR="00E009F0" w:rsidRPr="0040596D" w:rsidRDefault="00E009F0" w:rsidP="006D4FB6">
      <w:pPr>
        <w:rPr>
          <w:sz w:val="16"/>
          <w:lang w:val="en-GB"/>
        </w:rPr>
      </w:pPr>
    </w:p>
    <w:p w14:paraId="27CF2AA3" w14:textId="77777777" w:rsidR="006D4FB6" w:rsidRDefault="006D4FB6" w:rsidP="006D4FB6">
      <w:pPr>
        <w:pStyle w:val="Heading3"/>
        <w:rPr>
          <w:lang w:val="en-GB"/>
        </w:rPr>
      </w:pPr>
      <w:r w:rsidRPr="00802C75">
        <w:rPr>
          <w:lang w:val="en-GB"/>
        </w:rPr>
        <w:t>MEDICINE treatment</w:t>
      </w:r>
    </w:p>
    <w:p w14:paraId="4DE09464" w14:textId="77777777" w:rsidR="00A50DD9" w:rsidRDefault="00A50DD9" w:rsidP="006D4FB6">
      <w:pPr>
        <w:rPr>
          <w:b/>
          <w:lang w:val="en-GB"/>
        </w:rPr>
      </w:pPr>
    </w:p>
    <w:p w14:paraId="51A37D11" w14:textId="7C226098" w:rsidR="006D4FB6" w:rsidRPr="00FE52AC" w:rsidRDefault="006D4FB6" w:rsidP="006D4FB6">
      <w:pPr>
        <w:rPr>
          <w:b/>
          <w:lang w:val="en-GB"/>
        </w:rPr>
      </w:pPr>
      <w:r w:rsidRPr="00FE52AC">
        <w:rPr>
          <w:b/>
          <w:lang w:val="en-GB"/>
        </w:rPr>
        <w:t xml:space="preserve">Empiric antibiotic therapy </w:t>
      </w:r>
    </w:p>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
      </w:tblGrid>
      <w:tr w:rsidR="00235E75" w:rsidRPr="00FE52AC" w14:paraId="24962181" w14:textId="77777777" w:rsidTr="00354AF5">
        <w:tc>
          <w:tcPr>
            <w:tcW w:w="1134" w:type="dxa"/>
            <w:shd w:val="clear" w:color="auto" w:fill="auto"/>
          </w:tcPr>
          <w:p w14:paraId="2344E1C6" w14:textId="1806BE00" w:rsidR="00235E75" w:rsidRPr="00FE52AC" w:rsidRDefault="00235E75" w:rsidP="00354AF5">
            <w:pPr>
              <w:jc w:val="right"/>
              <w:rPr>
                <w:b/>
                <w:i/>
                <w:sz w:val="16"/>
              </w:rPr>
            </w:pPr>
            <w:proofErr w:type="spellStart"/>
            <w:r w:rsidRPr="00FE52AC">
              <w:rPr>
                <w:i/>
                <w:sz w:val="16"/>
              </w:rPr>
              <w:t>LoE:IIa</w:t>
            </w:r>
            <w:proofErr w:type="spellEnd"/>
            <w:r w:rsidRPr="00FE52AC">
              <w:rPr>
                <w:i/>
                <w:sz w:val="16"/>
                <w:vertAlign w:val="superscript"/>
              </w:rPr>
              <w:endnoteReference w:id="17"/>
            </w:r>
          </w:p>
        </w:tc>
      </w:tr>
    </w:tbl>
    <w:p w14:paraId="4FAB441A" w14:textId="5E1F6A69" w:rsidR="00402C68" w:rsidRPr="00FE52AC" w:rsidRDefault="00402C68" w:rsidP="006D4FB6">
      <w:pPr>
        <w:rPr>
          <w:b/>
          <w:lang w:val="en-GB"/>
        </w:rPr>
      </w:pPr>
      <w:r w:rsidRPr="00FE52AC">
        <w:rPr>
          <w:lang w:val="en-GB"/>
        </w:rPr>
        <w:t xml:space="preserve">Duration: </w:t>
      </w:r>
      <w:r w:rsidR="00321E69" w:rsidRPr="00FE52AC">
        <w:rPr>
          <w:lang w:val="en-GB"/>
        </w:rPr>
        <w:t xml:space="preserve">7 </w:t>
      </w:r>
      <w:r w:rsidRPr="00FE52AC">
        <w:rPr>
          <w:lang w:val="en-GB"/>
        </w:rPr>
        <w:t>days.</w:t>
      </w:r>
    </w:p>
    <w:p w14:paraId="716C3F53" w14:textId="0CE39996" w:rsidR="006D4FB6" w:rsidRPr="00FE52AC" w:rsidRDefault="006D4FB6" w:rsidP="006D4FB6">
      <w:pPr>
        <w:rPr>
          <w:b/>
          <w:u w:val="single"/>
          <w:lang w:val="en-GB"/>
        </w:rPr>
      </w:pPr>
    </w:p>
    <w:p w14:paraId="60C63BD3" w14:textId="6A588618" w:rsidR="006D4FB6" w:rsidRPr="00FE52AC" w:rsidRDefault="008C7839" w:rsidP="006D4FB6">
      <w:pPr>
        <w:rPr>
          <w:lang w:val="en-GB"/>
        </w:rPr>
      </w:pPr>
      <w:r w:rsidRPr="00FE52AC">
        <w:rPr>
          <w:lang w:val="en-GB"/>
        </w:rPr>
        <w:t>Antibiotic c</w:t>
      </w:r>
      <w:r w:rsidR="006D4FB6" w:rsidRPr="00FE52AC">
        <w:rPr>
          <w:lang w:val="en-GB"/>
        </w:rPr>
        <w:t>hoice will depend on local susceptibility patterns:</w:t>
      </w:r>
      <w:r w:rsidR="00354AF5" w:rsidRPr="00FE52AC">
        <w:rPr>
          <w:lang w:val="en-GB"/>
        </w:rPr>
        <w:t xml:space="preserve"> </w:t>
      </w:r>
      <w:hyperlink r:id="rId8" w:history="1">
        <w:r w:rsidR="00354454" w:rsidRPr="00FE52AC">
          <w:rPr>
            <w:rStyle w:val="Hyperlink"/>
            <w:lang w:val="en-GB"/>
          </w:rPr>
          <w:t>NICD AMR surveillance dashboard</w:t>
        </w:r>
      </w:hyperlink>
      <w:r w:rsidR="00354454" w:rsidRPr="00FE52AC">
        <w:rPr>
          <w:i/>
          <w:lang w:val="en-GB"/>
        </w:rPr>
        <w:t xml:space="preserve"> </w:t>
      </w:r>
    </w:p>
    <w:p w14:paraId="251759CE" w14:textId="77777777" w:rsidR="00F3254F" w:rsidRPr="00FE52AC" w:rsidRDefault="00F3254F" w:rsidP="0003265B">
      <w:pPr>
        <w:pStyle w:val="Medicinebullet1"/>
        <w:widowControl w:val="0"/>
        <w:ind w:left="284"/>
        <w:rPr>
          <w:rFonts w:cs="Arial"/>
          <w:lang w:val="en-GB"/>
        </w:rPr>
      </w:pPr>
    </w:p>
    <w:p w14:paraId="2FF2046A" w14:textId="40C01CA2" w:rsidR="006D4FB6" w:rsidRPr="00FE52AC" w:rsidRDefault="006D4FB6" w:rsidP="002C1BDA">
      <w:pPr>
        <w:pStyle w:val="Medicinebullet1"/>
        <w:widowControl w:val="0"/>
        <w:numPr>
          <w:ilvl w:val="0"/>
          <w:numId w:val="3"/>
        </w:numPr>
        <w:ind w:left="284" w:hanging="284"/>
        <w:rPr>
          <w:rFonts w:cs="Arial"/>
          <w:lang w:val="en-GB"/>
        </w:rPr>
      </w:pPr>
      <w:r w:rsidRPr="00FE52AC">
        <w:rPr>
          <w:rFonts w:cs="Arial"/>
          <w:lang w:val="en-GB"/>
        </w:rPr>
        <w:t>Piperacillin/tazobactam, IV, 4.5 g 8 hourly.</w:t>
      </w:r>
    </w:p>
    <w:p w14:paraId="72A02C86" w14:textId="62EFAD21" w:rsidR="00220A2B" w:rsidRPr="00FE52AC" w:rsidRDefault="0087697D" w:rsidP="00220A2B">
      <w:pPr>
        <w:pStyle w:val="Medicinebullet1"/>
        <w:tabs>
          <w:tab w:val="left" w:pos="0"/>
        </w:tabs>
        <w:rPr>
          <w:b/>
          <w:lang w:val="en-GB"/>
        </w:rPr>
      </w:pPr>
      <w:r w:rsidRPr="00FE52AC">
        <w:rPr>
          <w:b/>
          <w:lang w:val="en-GB"/>
        </w:rPr>
        <w:t>and</w:t>
      </w:r>
    </w:p>
    <w:p w14:paraId="05D8FE9A" w14:textId="77777777" w:rsidR="00CD2C6A" w:rsidRPr="00FE52AC" w:rsidRDefault="00220A2B" w:rsidP="002C1BDA">
      <w:pPr>
        <w:pStyle w:val="Medicinebullet1"/>
        <w:widowControl w:val="0"/>
        <w:numPr>
          <w:ilvl w:val="0"/>
          <w:numId w:val="3"/>
        </w:numPr>
        <w:ind w:left="284" w:hanging="284"/>
        <w:rPr>
          <w:lang w:val="en-GB"/>
        </w:rPr>
      </w:pPr>
      <w:r w:rsidRPr="00FE52AC">
        <w:rPr>
          <w:lang w:val="en-GB"/>
        </w:rPr>
        <w:t>Amikacin, IV, 15 mg/kg daily.</w:t>
      </w:r>
      <w:r w:rsidR="00E009F0" w:rsidRPr="00FE52AC">
        <w:rPr>
          <w:lang w:val="en-GB"/>
        </w:rPr>
        <w:t xml:space="preserve"> </w:t>
      </w:r>
      <w:r w:rsidR="002A04D4" w:rsidRPr="00FE52AC">
        <w:t>(See Appendix II, for individual dosing and monitoring for response and toxicity).</w:t>
      </w:r>
    </w:p>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
      </w:tblGrid>
      <w:tr w:rsidR="00CD2C6A" w:rsidRPr="00FE52AC" w14:paraId="163D9ADF" w14:textId="77777777" w:rsidTr="00CB690F">
        <w:tc>
          <w:tcPr>
            <w:tcW w:w="1134" w:type="dxa"/>
            <w:shd w:val="clear" w:color="auto" w:fill="auto"/>
          </w:tcPr>
          <w:p w14:paraId="70AC1F67" w14:textId="73159880" w:rsidR="00CD2C6A" w:rsidRPr="00FE52AC" w:rsidRDefault="00CD2C6A" w:rsidP="00CB690F">
            <w:pPr>
              <w:jc w:val="right"/>
              <w:rPr>
                <w:b/>
                <w:i/>
                <w:sz w:val="16"/>
              </w:rPr>
            </w:pPr>
            <w:proofErr w:type="spellStart"/>
            <w:r w:rsidRPr="00FE52AC">
              <w:rPr>
                <w:i/>
                <w:sz w:val="16"/>
              </w:rPr>
              <w:t>LoE:III</w:t>
            </w:r>
            <w:r w:rsidR="0066309A" w:rsidRPr="00FE52AC">
              <w:rPr>
                <w:i/>
                <w:sz w:val="16"/>
              </w:rPr>
              <w:t>b</w:t>
            </w:r>
            <w:proofErr w:type="spellEnd"/>
            <w:r w:rsidRPr="00FE52AC">
              <w:rPr>
                <w:i/>
                <w:sz w:val="16"/>
                <w:vertAlign w:val="superscript"/>
              </w:rPr>
              <w:endnoteReference w:id="18"/>
            </w:r>
          </w:p>
        </w:tc>
      </w:tr>
    </w:tbl>
    <w:p w14:paraId="546B1894" w14:textId="77777777" w:rsidR="00851D65" w:rsidRPr="00FE52AC" w:rsidRDefault="00851D65" w:rsidP="0000666A">
      <w:pPr>
        <w:rPr>
          <w:bCs/>
          <w:sz w:val="12"/>
        </w:rPr>
      </w:pPr>
    </w:p>
    <w:p w14:paraId="2B9ACF1E" w14:textId="34A069A8" w:rsidR="0000666A" w:rsidRPr="00FE52AC" w:rsidRDefault="0000666A" w:rsidP="0000666A">
      <w:pPr>
        <w:rPr>
          <w:b/>
          <w:bCs/>
        </w:rPr>
      </w:pPr>
      <w:r w:rsidRPr="00FE52AC">
        <w:rPr>
          <w:b/>
          <w:bCs/>
        </w:rPr>
        <w:t>OR</w:t>
      </w:r>
      <w:r w:rsidR="00354AF5" w:rsidRPr="00FE52AC">
        <w:rPr>
          <w:b/>
          <w:bCs/>
        </w:rPr>
        <w:t xml:space="preserve"> ALTERNATIVE</w:t>
      </w:r>
    </w:p>
    <w:p w14:paraId="6D087435" w14:textId="1222DB3A" w:rsidR="0000666A" w:rsidRPr="00FE52AC" w:rsidRDefault="0000666A" w:rsidP="002C1BDA">
      <w:pPr>
        <w:pStyle w:val="Medicinebullet1"/>
        <w:widowControl w:val="0"/>
        <w:numPr>
          <w:ilvl w:val="0"/>
          <w:numId w:val="3"/>
        </w:numPr>
        <w:ind w:left="284" w:hanging="284"/>
        <w:rPr>
          <w:lang w:val="en-GB"/>
        </w:rPr>
      </w:pPr>
      <w:r w:rsidRPr="00FE52AC">
        <w:t xml:space="preserve">Cefepime, IV, </w:t>
      </w:r>
      <w:r w:rsidR="00851D65" w:rsidRPr="00FE52AC">
        <w:t>2</w:t>
      </w:r>
      <w:r w:rsidRPr="00FE52AC">
        <w:t xml:space="preserve"> g 12 hourly. </w:t>
      </w:r>
      <w:r w:rsidR="0052187C" w:rsidRPr="00FE52AC">
        <w:rPr>
          <w:rFonts w:cs="Arial"/>
          <w:lang w:val="en-GB"/>
        </w:rPr>
        <w:t>(See Appendix II for guidance on dosing in renal impairment).</w:t>
      </w:r>
    </w:p>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
      </w:tblGrid>
      <w:tr w:rsidR="00F37AAD" w:rsidRPr="00FE52AC" w14:paraId="171BC482" w14:textId="77777777" w:rsidTr="00B65A39">
        <w:tc>
          <w:tcPr>
            <w:tcW w:w="1134" w:type="dxa"/>
            <w:shd w:val="clear" w:color="auto" w:fill="auto"/>
          </w:tcPr>
          <w:p w14:paraId="70DADB4B" w14:textId="77777777" w:rsidR="00F37AAD" w:rsidRPr="00FE52AC" w:rsidRDefault="00F37AAD" w:rsidP="00B65A39">
            <w:pPr>
              <w:jc w:val="right"/>
              <w:rPr>
                <w:b/>
                <w:i/>
                <w:sz w:val="16"/>
              </w:rPr>
            </w:pPr>
            <w:proofErr w:type="spellStart"/>
            <w:r w:rsidRPr="00FE52AC">
              <w:rPr>
                <w:i/>
                <w:sz w:val="16"/>
              </w:rPr>
              <w:t>LoE:IIIb</w:t>
            </w:r>
            <w:proofErr w:type="spellEnd"/>
            <w:r w:rsidRPr="00FE52AC">
              <w:rPr>
                <w:i/>
                <w:sz w:val="16"/>
                <w:vertAlign w:val="superscript"/>
              </w:rPr>
              <w:endnoteReference w:id="19"/>
            </w:r>
          </w:p>
        </w:tc>
      </w:tr>
    </w:tbl>
    <w:p w14:paraId="5E40F066" w14:textId="19C92C55" w:rsidR="00F3254F" w:rsidRPr="00FE52AC" w:rsidRDefault="00F3254F" w:rsidP="0003265B">
      <w:pPr>
        <w:pStyle w:val="Medicinebullet1"/>
        <w:widowControl w:val="0"/>
        <w:ind w:left="284"/>
        <w:rPr>
          <w:sz w:val="22"/>
          <w:szCs w:val="22"/>
          <w:lang w:val="en-GB"/>
        </w:rPr>
      </w:pPr>
    </w:p>
    <w:p w14:paraId="01622515" w14:textId="6A37C3D2" w:rsidR="00B10411" w:rsidRPr="00FE52AC" w:rsidRDefault="00FD1294" w:rsidP="006D4FB6">
      <w:pPr>
        <w:rPr>
          <w:b/>
          <w:lang w:val="en-GB"/>
        </w:rPr>
      </w:pPr>
      <w:r w:rsidRPr="00FE52AC">
        <w:rPr>
          <w:b/>
          <w:lang w:val="en-GB"/>
        </w:rPr>
        <w:t xml:space="preserve">IF </w:t>
      </w:r>
      <w:r w:rsidR="009756CC" w:rsidRPr="00FE52AC">
        <w:rPr>
          <w:b/>
          <w:lang w:val="en-GB"/>
        </w:rPr>
        <w:t xml:space="preserve">HIGH </w:t>
      </w:r>
      <w:r w:rsidRPr="00FE52AC">
        <w:rPr>
          <w:b/>
          <w:lang w:val="en-GB"/>
        </w:rPr>
        <w:t xml:space="preserve">LOCAL </w:t>
      </w:r>
      <w:r w:rsidR="00354AF5" w:rsidRPr="00FE52AC">
        <w:rPr>
          <w:b/>
          <w:lang w:val="en-GB"/>
        </w:rPr>
        <w:t xml:space="preserve">RESISTANCE </w:t>
      </w:r>
      <w:r w:rsidR="009756CC" w:rsidRPr="00FE52AC">
        <w:rPr>
          <w:b/>
          <w:lang w:val="en-GB"/>
        </w:rPr>
        <w:t>RATES TO THE ABOVE REGIMENS</w:t>
      </w:r>
      <w:r w:rsidR="00A50DD9" w:rsidRPr="00FE52AC">
        <w:rPr>
          <w:b/>
          <w:lang w:val="en-GB"/>
        </w:rPr>
        <w:t>,</w:t>
      </w:r>
      <w:r w:rsidRPr="00FE52AC">
        <w:rPr>
          <w:b/>
          <w:lang w:val="en-GB"/>
        </w:rPr>
        <w:t xml:space="preserve"> </w:t>
      </w:r>
      <w:r w:rsidR="00354AF5" w:rsidRPr="00FE52AC">
        <w:rPr>
          <w:b/>
          <w:lang w:val="en-GB"/>
        </w:rPr>
        <w:t>THEN CONSIDER CARBAPENEM</w:t>
      </w:r>
    </w:p>
    <w:p w14:paraId="2D35581E" w14:textId="77777777" w:rsidR="006D4FB6" w:rsidRPr="00FE52AC" w:rsidRDefault="00B10411" w:rsidP="006D4FB6">
      <w:pPr>
        <w:rPr>
          <w:lang w:val="en-GB"/>
        </w:rPr>
      </w:pPr>
      <w:r w:rsidRPr="00FE52AC">
        <w:rPr>
          <w:lang w:val="en-GB"/>
        </w:rPr>
        <w:t>I</w:t>
      </w:r>
      <w:r w:rsidR="0042748A" w:rsidRPr="00FE52AC">
        <w:rPr>
          <w:lang w:val="en-GB"/>
        </w:rPr>
        <w:t xml:space="preserve">nstead of </w:t>
      </w:r>
      <w:r w:rsidRPr="00FE52AC">
        <w:rPr>
          <w:lang w:val="en-GB"/>
        </w:rPr>
        <w:t>piperacillin/tazobactam + amikacin</w:t>
      </w:r>
      <w:r w:rsidR="00D81A33" w:rsidRPr="00FE52AC">
        <w:rPr>
          <w:lang w:val="en-GB"/>
        </w:rPr>
        <w:t xml:space="preserve"> </w:t>
      </w:r>
      <w:r w:rsidR="00D81A33" w:rsidRPr="00FE52AC">
        <w:rPr>
          <w:b/>
          <w:lang w:val="en-GB"/>
        </w:rPr>
        <w:t>OR</w:t>
      </w:r>
      <w:r w:rsidR="00D81A33" w:rsidRPr="00FE52AC">
        <w:rPr>
          <w:lang w:val="en-GB"/>
        </w:rPr>
        <w:t xml:space="preserve"> cefepime</w:t>
      </w:r>
      <w:r w:rsidRPr="00FE52AC">
        <w:rPr>
          <w:lang w:val="en-GB"/>
        </w:rPr>
        <w:t>:</w:t>
      </w:r>
    </w:p>
    <w:p w14:paraId="7282474B" w14:textId="2C36E91A" w:rsidR="00950521" w:rsidRPr="00FE52AC" w:rsidRDefault="00A55E61" w:rsidP="007F625C">
      <w:pPr>
        <w:tabs>
          <w:tab w:val="left" w:pos="284"/>
        </w:tabs>
        <w:rPr>
          <w:lang w:val="en-GB"/>
        </w:rPr>
      </w:pPr>
      <w:r w:rsidRPr="00FE52AC">
        <w:rPr>
          <w:lang w:val="en-GB"/>
        </w:rPr>
        <w:t>C</w:t>
      </w:r>
      <w:r w:rsidR="005B69C4" w:rsidRPr="00FE52AC">
        <w:rPr>
          <w:lang w:val="en-GB"/>
        </w:rPr>
        <w:t>arbapenem with activity against Pseudomonas</w:t>
      </w:r>
      <w:r w:rsidR="007F625C" w:rsidRPr="00FE52AC">
        <w:rPr>
          <w:lang w:val="en-GB"/>
        </w:rPr>
        <w:t>:</w:t>
      </w:r>
    </w:p>
    <w:p w14:paraId="0AF61022" w14:textId="532FF84D" w:rsidR="00CD2C6A" w:rsidRDefault="00185D10" w:rsidP="002C1BDA">
      <w:pPr>
        <w:pStyle w:val="Medicinebullet1"/>
        <w:widowControl w:val="0"/>
        <w:numPr>
          <w:ilvl w:val="0"/>
          <w:numId w:val="3"/>
        </w:numPr>
        <w:ind w:left="284" w:hanging="284"/>
        <w:rPr>
          <w:rFonts w:cs="Arial"/>
          <w:lang w:val="en-GB"/>
        </w:rPr>
      </w:pPr>
      <w:r w:rsidRPr="00FE52AC">
        <w:rPr>
          <w:rFonts w:cs="Arial"/>
          <w:lang w:val="en-GB"/>
        </w:rPr>
        <w:t>Imipenem</w:t>
      </w:r>
      <w:r w:rsidR="00664D12" w:rsidRPr="00FE52AC">
        <w:rPr>
          <w:rFonts w:cs="Arial"/>
          <w:lang w:val="en-GB"/>
        </w:rPr>
        <w:t>/cilast</w:t>
      </w:r>
      <w:r w:rsidR="00110C19">
        <w:rPr>
          <w:rFonts w:cs="Arial"/>
          <w:lang w:val="en-GB"/>
        </w:rPr>
        <w:t>i</w:t>
      </w:r>
      <w:r w:rsidR="00664D12" w:rsidRPr="00FE52AC">
        <w:rPr>
          <w:rFonts w:cs="Arial"/>
          <w:lang w:val="en-GB"/>
        </w:rPr>
        <w:t>n</w:t>
      </w:r>
      <w:r w:rsidRPr="00FE52AC">
        <w:rPr>
          <w:rFonts w:cs="Arial"/>
          <w:lang w:val="en-GB"/>
        </w:rPr>
        <w:t>, IV, 1</w:t>
      </w:r>
      <w:r w:rsidR="00664D12" w:rsidRPr="00FE52AC">
        <w:rPr>
          <w:rFonts w:cs="Arial"/>
          <w:lang w:val="en-GB"/>
        </w:rPr>
        <w:t>000/1000</w:t>
      </w:r>
      <w:r w:rsidRPr="00FE52AC">
        <w:rPr>
          <w:rFonts w:cs="Arial"/>
          <w:lang w:val="en-GB"/>
        </w:rPr>
        <w:t xml:space="preserve"> </w:t>
      </w:r>
      <w:r w:rsidR="004C1731" w:rsidRPr="00FE52AC">
        <w:rPr>
          <w:rFonts w:cs="Arial"/>
          <w:lang w:val="en-GB"/>
        </w:rPr>
        <w:t>m</w:t>
      </w:r>
      <w:r w:rsidRPr="00FE52AC">
        <w:rPr>
          <w:rFonts w:cs="Arial"/>
          <w:lang w:val="en-GB"/>
        </w:rPr>
        <w:t>g 8 hourly</w:t>
      </w:r>
      <w:r w:rsidR="008B33A9">
        <w:rPr>
          <w:rFonts w:cs="Arial"/>
          <w:lang w:val="en-GB"/>
        </w:rPr>
        <w:t>.</w:t>
      </w:r>
    </w:p>
    <w:p w14:paraId="6119081C" w14:textId="77777777" w:rsidR="00E24080" w:rsidRPr="00E24080" w:rsidRDefault="008B33A9" w:rsidP="00E24080">
      <w:pPr>
        <w:pStyle w:val="Medicinebullet1"/>
        <w:widowControl w:val="0"/>
        <w:jc w:val="both"/>
        <w:rPr>
          <w:rFonts w:cs="Arial"/>
          <w:lang w:val="en-GB"/>
        </w:rPr>
      </w:pPr>
      <w:r w:rsidRPr="008B33A9">
        <w:rPr>
          <w:rFonts w:cs="Arial"/>
          <w:b/>
          <w:bCs/>
          <w:lang w:val="en-GB"/>
        </w:rPr>
        <w:t>Note:</w:t>
      </w:r>
      <w:r w:rsidR="00E24080" w:rsidRPr="00E24080">
        <w:rPr>
          <w:rFonts w:cs="Arial"/>
          <w:lang w:val="en-GB"/>
        </w:rPr>
        <w:t xml:space="preserve"> Do not use imipenem/cilastin in patients with central nervous system disorders or history of seizures. for patients with known epilepsy – use </w:t>
      </w:r>
    </w:p>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
      </w:tblGrid>
      <w:tr w:rsidR="00E24080" w:rsidRPr="00FE52AC" w14:paraId="2C10D52A" w14:textId="77777777" w:rsidTr="00C667BD">
        <w:tc>
          <w:tcPr>
            <w:tcW w:w="1134" w:type="dxa"/>
            <w:shd w:val="clear" w:color="auto" w:fill="auto"/>
          </w:tcPr>
          <w:p w14:paraId="185911E9" w14:textId="2816CAB3" w:rsidR="00E24080" w:rsidRPr="00FE52AC" w:rsidRDefault="00E24080" w:rsidP="00C667BD">
            <w:pPr>
              <w:jc w:val="right"/>
              <w:rPr>
                <w:b/>
                <w:i/>
                <w:sz w:val="16"/>
              </w:rPr>
            </w:pPr>
            <w:proofErr w:type="spellStart"/>
            <w:proofErr w:type="gramStart"/>
            <w:r w:rsidRPr="00FE52AC">
              <w:rPr>
                <w:i/>
                <w:sz w:val="16"/>
              </w:rPr>
              <w:t>LoE:I</w:t>
            </w:r>
            <w:r>
              <w:rPr>
                <w:i/>
                <w:sz w:val="16"/>
              </w:rPr>
              <w:t>V</w:t>
            </w:r>
            <w:r w:rsidRPr="00FE52AC">
              <w:rPr>
                <w:i/>
                <w:sz w:val="16"/>
              </w:rPr>
              <w:t>b</w:t>
            </w:r>
            <w:proofErr w:type="spellEnd"/>
            <w:proofErr w:type="gramEnd"/>
            <w:r w:rsidRPr="00FE52AC">
              <w:rPr>
                <w:i/>
                <w:sz w:val="16"/>
                <w:vertAlign w:val="superscript"/>
              </w:rPr>
              <w:endnoteReference w:id="20"/>
            </w:r>
          </w:p>
        </w:tc>
      </w:tr>
    </w:tbl>
    <w:p w14:paraId="4DF04D3C" w14:textId="5E78F342" w:rsidR="008B33A9" w:rsidRPr="008B33A9" w:rsidRDefault="00E24080" w:rsidP="00E24080">
      <w:pPr>
        <w:pStyle w:val="Medicinebullet1"/>
        <w:widowControl w:val="0"/>
        <w:jc w:val="both"/>
        <w:rPr>
          <w:rFonts w:cs="Arial"/>
          <w:b/>
          <w:bCs/>
          <w:lang w:val="en-GB"/>
        </w:rPr>
      </w:pPr>
      <w:r w:rsidRPr="00E24080">
        <w:rPr>
          <w:rFonts w:cs="Arial"/>
          <w:lang w:val="en-GB"/>
        </w:rPr>
        <w:t>meropenem.</w:t>
      </w:r>
    </w:p>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
      </w:tblGrid>
      <w:tr w:rsidR="00CD2C6A" w:rsidRPr="00FE52AC" w14:paraId="493DEBE5" w14:textId="77777777" w:rsidTr="00CB690F">
        <w:tc>
          <w:tcPr>
            <w:tcW w:w="1134" w:type="dxa"/>
            <w:shd w:val="clear" w:color="auto" w:fill="auto"/>
          </w:tcPr>
          <w:p w14:paraId="1CD5983C" w14:textId="2981A04E" w:rsidR="00CD2C6A" w:rsidRPr="00FE52AC" w:rsidRDefault="00CD2C6A" w:rsidP="00CB690F">
            <w:pPr>
              <w:jc w:val="right"/>
              <w:rPr>
                <w:b/>
                <w:i/>
                <w:sz w:val="16"/>
              </w:rPr>
            </w:pPr>
            <w:proofErr w:type="spellStart"/>
            <w:proofErr w:type="gramStart"/>
            <w:r w:rsidRPr="00FE52AC">
              <w:rPr>
                <w:i/>
                <w:sz w:val="16"/>
              </w:rPr>
              <w:lastRenderedPageBreak/>
              <w:t>LoE:III</w:t>
            </w:r>
            <w:r w:rsidR="00613133" w:rsidRPr="00FE52AC">
              <w:rPr>
                <w:i/>
                <w:sz w:val="16"/>
              </w:rPr>
              <w:t>b</w:t>
            </w:r>
            <w:proofErr w:type="spellEnd"/>
            <w:proofErr w:type="gramEnd"/>
            <w:r w:rsidRPr="00FE52AC">
              <w:rPr>
                <w:i/>
                <w:sz w:val="16"/>
                <w:vertAlign w:val="superscript"/>
              </w:rPr>
              <w:endnoteReference w:id="21"/>
            </w:r>
          </w:p>
        </w:tc>
      </w:tr>
    </w:tbl>
    <w:p w14:paraId="678F8F93" w14:textId="77777777" w:rsidR="00185D10" w:rsidRPr="00FE52AC" w:rsidRDefault="00185D10" w:rsidP="00CD2C6A">
      <w:pPr>
        <w:pStyle w:val="Medicinebullet1"/>
        <w:ind w:left="360"/>
        <w:rPr>
          <w:rFonts w:cs="Arial"/>
          <w:strike/>
          <w:sz w:val="12"/>
          <w:lang w:val="en-GB"/>
        </w:rPr>
      </w:pPr>
    </w:p>
    <w:p w14:paraId="0983DD03" w14:textId="22D2623F" w:rsidR="00B10411" w:rsidRPr="00FE52AC" w:rsidRDefault="005B69C4" w:rsidP="006D4FB6">
      <w:pPr>
        <w:pStyle w:val="Medicinebullet1"/>
        <w:rPr>
          <w:rFonts w:cs="Arial"/>
          <w:b/>
          <w:lang w:val="en-GB"/>
        </w:rPr>
      </w:pPr>
      <w:r w:rsidRPr="00FE52AC">
        <w:rPr>
          <w:rFonts w:cs="Arial"/>
          <w:b/>
          <w:lang w:val="en-GB"/>
        </w:rPr>
        <w:t>OR</w:t>
      </w:r>
      <w:r w:rsidR="00354AF5" w:rsidRPr="00FE52AC">
        <w:rPr>
          <w:rFonts w:cs="Arial"/>
          <w:b/>
          <w:lang w:val="en-GB"/>
        </w:rPr>
        <w:t xml:space="preserve"> </w:t>
      </w:r>
    </w:p>
    <w:p w14:paraId="22C27111" w14:textId="77777777" w:rsidR="00F11BEC" w:rsidRPr="00FE52AC" w:rsidRDefault="00B10411" w:rsidP="00354454">
      <w:pPr>
        <w:pStyle w:val="Medicinebullet1"/>
        <w:widowControl w:val="0"/>
        <w:rPr>
          <w:lang w:val="en-GB"/>
        </w:rPr>
      </w:pPr>
      <w:r w:rsidRPr="00FE52AC">
        <w:rPr>
          <w:lang w:val="en-GB"/>
        </w:rPr>
        <w:t>Instead of piperacillin/tazobactam + amikacin</w:t>
      </w:r>
      <w:r w:rsidR="00D81A33" w:rsidRPr="00FE52AC">
        <w:rPr>
          <w:lang w:val="en-GB"/>
        </w:rPr>
        <w:t xml:space="preserve"> </w:t>
      </w:r>
      <w:r w:rsidR="00D81A33" w:rsidRPr="00FE52AC">
        <w:rPr>
          <w:b/>
          <w:lang w:val="en-GB"/>
        </w:rPr>
        <w:t>OR</w:t>
      </w:r>
      <w:r w:rsidR="00D81A33" w:rsidRPr="00FE52AC">
        <w:rPr>
          <w:lang w:val="en-GB"/>
        </w:rPr>
        <w:t xml:space="preserve"> cefepime </w:t>
      </w:r>
      <w:r w:rsidRPr="00FE52AC">
        <w:rPr>
          <w:b/>
          <w:lang w:val="en-GB"/>
        </w:rPr>
        <w:t xml:space="preserve">OR </w:t>
      </w:r>
      <w:r w:rsidRPr="00FE52AC">
        <w:rPr>
          <w:lang w:val="en-GB"/>
        </w:rPr>
        <w:t>imipenem:</w:t>
      </w:r>
    </w:p>
    <w:p w14:paraId="18785CC4" w14:textId="0E2B1516" w:rsidR="00185D10" w:rsidRPr="00FE52AC" w:rsidRDefault="00185D10" w:rsidP="002C1BDA">
      <w:pPr>
        <w:pStyle w:val="Medicinebullet1"/>
        <w:widowControl w:val="0"/>
        <w:numPr>
          <w:ilvl w:val="0"/>
          <w:numId w:val="3"/>
        </w:numPr>
        <w:ind w:left="284" w:hanging="284"/>
        <w:rPr>
          <w:rFonts w:cs="Arial"/>
          <w:lang w:val="en-GB"/>
        </w:rPr>
      </w:pPr>
      <w:r w:rsidRPr="00FE52AC">
        <w:rPr>
          <w:rFonts w:cs="Arial"/>
          <w:lang w:val="en-GB"/>
        </w:rPr>
        <w:t>Meropenem, IV, 2 g 8 hourly (known epileptics).</w:t>
      </w:r>
    </w:p>
    <w:p w14:paraId="5C8B7889" w14:textId="77777777" w:rsidR="007F35F7" w:rsidRPr="00FE52AC" w:rsidRDefault="007F35F7" w:rsidP="007F35F7">
      <w:pPr>
        <w:tabs>
          <w:tab w:val="clear" w:pos="2694"/>
          <w:tab w:val="left" w:pos="0"/>
        </w:tabs>
        <w:rPr>
          <w:strike/>
          <w:color w:val="FF0000"/>
          <w:sz w:val="6"/>
        </w:rPr>
      </w:pPr>
    </w:p>
    <w:p w14:paraId="37C6568A" w14:textId="77777777" w:rsidR="00F3254F" w:rsidRPr="00FE52AC" w:rsidRDefault="002A04D4" w:rsidP="007F35F7">
      <w:pPr>
        <w:pStyle w:val="Medicinebullet1"/>
        <w:rPr>
          <w:lang w:val="en-GB"/>
        </w:rPr>
      </w:pPr>
      <w:r w:rsidRPr="00FE52AC">
        <w:rPr>
          <w:b/>
          <w:lang w:val="en-GB"/>
        </w:rPr>
        <w:t>Note:</w:t>
      </w:r>
      <w:r w:rsidRPr="00FE52AC">
        <w:rPr>
          <w:lang w:val="en-GB"/>
        </w:rPr>
        <w:t xml:space="preserve"> </w:t>
      </w:r>
    </w:p>
    <w:p w14:paraId="7B53A63A" w14:textId="5EF6CA19" w:rsidR="00A10838" w:rsidRPr="00FE52AC" w:rsidRDefault="002A04D4" w:rsidP="00F37AAD">
      <w:pPr>
        <w:pStyle w:val="Medicinebullet1"/>
        <w:numPr>
          <w:ilvl w:val="0"/>
          <w:numId w:val="39"/>
        </w:numPr>
        <w:ind w:left="284" w:hanging="284"/>
        <w:rPr>
          <w:lang w:val="en-GB"/>
        </w:rPr>
      </w:pPr>
      <w:r w:rsidRPr="00FE52AC">
        <w:rPr>
          <w:lang w:val="en-GB"/>
        </w:rPr>
        <w:t>De-escalate as soon as the culture is available.</w:t>
      </w:r>
    </w:p>
    <w:p w14:paraId="5FC9D80A" w14:textId="24E1A5AF" w:rsidR="00A10838" w:rsidRPr="00FE52AC" w:rsidRDefault="00A10838" w:rsidP="00F37AAD">
      <w:pPr>
        <w:pStyle w:val="Medicinebullet1"/>
        <w:numPr>
          <w:ilvl w:val="0"/>
          <w:numId w:val="39"/>
        </w:numPr>
        <w:ind w:left="284" w:hanging="284"/>
        <w:rPr>
          <w:lang w:val="en-GB"/>
        </w:rPr>
      </w:pPr>
      <w:r w:rsidRPr="00FE52AC">
        <w:rPr>
          <w:lang w:val="en-GB"/>
        </w:rPr>
        <w:t>For severe pencillin allergy, consult an infectious diseases specialist or microbiologist.</w:t>
      </w:r>
    </w:p>
    <w:p w14:paraId="71717989" w14:textId="77777777" w:rsidR="003E19A6" w:rsidRPr="002A04D4" w:rsidRDefault="003E19A6" w:rsidP="007F35F7">
      <w:pPr>
        <w:pStyle w:val="Medicinebullet1"/>
        <w:rPr>
          <w:lang w:val="en-GB"/>
        </w:rPr>
      </w:pPr>
    </w:p>
    <w:p w14:paraId="22D6F473" w14:textId="77777777" w:rsidR="006D4FB6" w:rsidRPr="00802C75" w:rsidRDefault="006D4FB6" w:rsidP="0068274D">
      <w:pPr>
        <w:pStyle w:val="Heading2"/>
        <w:tabs>
          <w:tab w:val="left" w:pos="630"/>
        </w:tabs>
        <w:rPr>
          <w:sz w:val="22"/>
          <w:szCs w:val="22"/>
          <w:lang w:val="en-GB"/>
        </w:rPr>
      </w:pPr>
      <w:r w:rsidRPr="00802C75">
        <w:rPr>
          <w:sz w:val="22"/>
          <w:szCs w:val="22"/>
          <w:lang w:val="en-GB"/>
        </w:rPr>
        <w:t>9.1.4</w:t>
      </w:r>
      <w:r w:rsidR="0068274D" w:rsidRPr="00802C75">
        <w:rPr>
          <w:sz w:val="22"/>
          <w:szCs w:val="22"/>
          <w:lang w:val="en-GB"/>
        </w:rPr>
        <w:tab/>
      </w:r>
      <w:r w:rsidRPr="00802C75">
        <w:rPr>
          <w:sz w:val="22"/>
          <w:szCs w:val="22"/>
          <w:lang w:val="en-GB"/>
        </w:rPr>
        <w:t>Urinary tract infections</w:t>
      </w:r>
      <w:r w:rsidR="003D5FC2" w:rsidRPr="00802C75">
        <w:rPr>
          <w:sz w:val="22"/>
          <w:szCs w:val="22"/>
          <w:lang w:val="en-GB"/>
        </w:rPr>
        <w:t xml:space="preserve">, catheter </w:t>
      </w:r>
      <w:r w:rsidR="0068274D" w:rsidRPr="00802C75">
        <w:rPr>
          <w:sz w:val="22"/>
          <w:szCs w:val="22"/>
          <w:lang w:val="en-GB"/>
        </w:rPr>
        <w:tab/>
      </w:r>
      <w:r w:rsidR="003D5FC2" w:rsidRPr="00802C75">
        <w:rPr>
          <w:sz w:val="22"/>
          <w:szCs w:val="22"/>
          <w:lang w:val="en-GB"/>
        </w:rPr>
        <w:t>associated</w:t>
      </w:r>
    </w:p>
    <w:p w14:paraId="2B6CA05E" w14:textId="77777777" w:rsidR="006D4FB6" w:rsidRPr="00802C75" w:rsidRDefault="00A468AA" w:rsidP="006D4FB6">
      <w:pPr>
        <w:pStyle w:val="ICD10heading"/>
        <w:rPr>
          <w:lang w:val="en-GB"/>
        </w:rPr>
      </w:pPr>
      <w:r>
        <w:rPr>
          <w:lang w:val="en-GB"/>
        </w:rPr>
        <w:t>T83.5 + (Y84.6+N39.0)</w:t>
      </w:r>
    </w:p>
    <w:p w14:paraId="0150FFA8" w14:textId="77777777" w:rsidR="006D4FB6" w:rsidRPr="0040596D" w:rsidRDefault="006D4FB6" w:rsidP="006D4FB6">
      <w:pPr>
        <w:rPr>
          <w:sz w:val="16"/>
          <w:lang w:val="en-GB"/>
        </w:rPr>
      </w:pPr>
    </w:p>
    <w:p w14:paraId="1B6C8AC7" w14:textId="77777777" w:rsidR="006D4FB6" w:rsidRPr="00802C75" w:rsidRDefault="006D4FB6" w:rsidP="006D4FB6">
      <w:pPr>
        <w:pStyle w:val="Heading3"/>
        <w:rPr>
          <w:lang w:val="en-GB"/>
        </w:rPr>
      </w:pPr>
      <w:r w:rsidRPr="00802C75">
        <w:rPr>
          <w:lang w:val="en-GB"/>
        </w:rPr>
        <w:t>description</w:t>
      </w:r>
    </w:p>
    <w:p w14:paraId="2E14B75B" w14:textId="4A7A341C" w:rsidR="006D4FB6" w:rsidRPr="00802C75" w:rsidRDefault="006D4FB6" w:rsidP="0040596D">
      <w:pPr>
        <w:rPr>
          <w:lang w:val="en-GB"/>
        </w:rPr>
      </w:pPr>
      <w:r w:rsidRPr="00802C75">
        <w:rPr>
          <w:lang w:val="en-GB"/>
        </w:rPr>
        <w:t>Common organisms:</w:t>
      </w:r>
      <w:r w:rsidR="0040596D">
        <w:rPr>
          <w:lang w:val="en-GB"/>
        </w:rPr>
        <w:t xml:space="preserve"> </w:t>
      </w:r>
      <w:r w:rsidRPr="00802C75">
        <w:rPr>
          <w:lang w:val="en-GB"/>
        </w:rPr>
        <w:t xml:space="preserve">resistant aerobic </w:t>
      </w:r>
      <w:r w:rsidR="00074699" w:rsidRPr="00802C75">
        <w:rPr>
          <w:lang w:val="en-GB"/>
        </w:rPr>
        <w:t>Gram</w:t>
      </w:r>
      <w:r w:rsidR="00074699">
        <w:rPr>
          <w:lang w:val="en-GB"/>
        </w:rPr>
        <w:t>-negative</w:t>
      </w:r>
      <w:r w:rsidRPr="00802C75">
        <w:rPr>
          <w:lang w:val="en-GB"/>
        </w:rPr>
        <w:t xml:space="preserve"> </w:t>
      </w:r>
      <w:r w:rsidR="003F19D3">
        <w:rPr>
          <w:lang w:val="en-GB"/>
        </w:rPr>
        <w:t>bacteria</w:t>
      </w:r>
      <w:r w:rsidRPr="00802C75">
        <w:rPr>
          <w:lang w:val="en-GB"/>
        </w:rPr>
        <w:t>.</w:t>
      </w:r>
    </w:p>
    <w:p w14:paraId="6BCAF2D6" w14:textId="4B8232FA" w:rsidR="006D4FB6" w:rsidRDefault="006D4FB6" w:rsidP="006D4FB6">
      <w:pPr>
        <w:rPr>
          <w:lang w:val="en-GB"/>
        </w:rPr>
      </w:pPr>
      <w:r w:rsidRPr="00802C75">
        <w:rPr>
          <w:lang w:val="en-GB"/>
        </w:rPr>
        <w:t>Microbiologic specimen: blood culture and</w:t>
      </w:r>
      <w:r w:rsidR="00023EC2">
        <w:rPr>
          <w:lang w:val="en-GB"/>
        </w:rPr>
        <w:t xml:space="preserve"> </w:t>
      </w:r>
      <w:r w:rsidRPr="00802C75">
        <w:rPr>
          <w:lang w:val="en-GB"/>
        </w:rPr>
        <w:t>MSU/CSU</w:t>
      </w:r>
      <w:r w:rsidR="00767B35">
        <w:rPr>
          <w:lang w:val="en-GB"/>
        </w:rPr>
        <w:t xml:space="preserve"> for microscopy and bacterial culture</w:t>
      </w:r>
      <w:r w:rsidRPr="00802C75">
        <w:rPr>
          <w:lang w:val="en-GB"/>
        </w:rPr>
        <w:t>.</w:t>
      </w:r>
    </w:p>
    <w:p w14:paraId="63D2FCF4" w14:textId="77777777" w:rsidR="00D2657D" w:rsidRDefault="00D2657D" w:rsidP="006D4FB6">
      <w:pPr>
        <w:rPr>
          <w:lang w:val="en-GB"/>
        </w:rPr>
      </w:pPr>
      <w:r>
        <w:rPr>
          <w:lang w:val="en-GB"/>
        </w:rPr>
        <w:t>In most patients with long</w:t>
      </w:r>
      <w:r w:rsidR="0040596D">
        <w:rPr>
          <w:lang w:val="en-GB"/>
        </w:rPr>
        <w:t>-</w:t>
      </w:r>
      <w:r>
        <w:rPr>
          <w:lang w:val="en-GB"/>
        </w:rPr>
        <w:t xml:space="preserve">term catheters bacteria cultured on CSU represent colonisation rather than infection – only treat with antibiotics if there are features of sepsis or pyelonephritis. </w:t>
      </w:r>
    </w:p>
    <w:p w14:paraId="303F12F4" w14:textId="77777777" w:rsidR="00767B35" w:rsidRPr="0040596D" w:rsidRDefault="00767B35" w:rsidP="006D4FB6">
      <w:pPr>
        <w:rPr>
          <w:sz w:val="16"/>
          <w:lang w:val="en-GB"/>
        </w:rPr>
      </w:pPr>
    </w:p>
    <w:p w14:paraId="7EC6ED35" w14:textId="77777777" w:rsidR="003D5FC2" w:rsidRPr="00802C75" w:rsidRDefault="003D5FC2" w:rsidP="006D4FB6">
      <w:pPr>
        <w:rPr>
          <w:b/>
          <w:sz w:val="20"/>
          <w:szCs w:val="20"/>
          <w:lang w:val="en-GB"/>
        </w:rPr>
      </w:pPr>
      <w:r w:rsidRPr="00802C75">
        <w:rPr>
          <w:b/>
          <w:sz w:val="20"/>
          <w:szCs w:val="20"/>
          <w:lang w:val="en-GB"/>
        </w:rPr>
        <w:t>GENERAL ME</w:t>
      </w:r>
      <w:r w:rsidR="00A06ECF" w:rsidRPr="00802C75">
        <w:rPr>
          <w:b/>
          <w:sz w:val="20"/>
          <w:szCs w:val="20"/>
          <w:lang w:val="en-GB"/>
        </w:rPr>
        <w:t>A</w:t>
      </w:r>
      <w:r w:rsidRPr="00802C75">
        <w:rPr>
          <w:b/>
          <w:sz w:val="20"/>
          <w:szCs w:val="20"/>
          <w:lang w:val="en-GB"/>
        </w:rPr>
        <w:t>SURES</w:t>
      </w:r>
    </w:p>
    <w:p w14:paraId="308710E7" w14:textId="13EFF9FE" w:rsidR="003D5FC2" w:rsidRDefault="003D5FC2" w:rsidP="006D4FB6">
      <w:pPr>
        <w:rPr>
          <w:lang w:val="en-GB"/>
        </w:rPr>
      </w:pPr>
      <w:r w:rsidRPr="00802C75">
        <w:rPr>
          <w:lang w:val="en-GB"/>
        </w:rPr>
        <w:t>Remove catheter.</w:t>
      </w:r>
    </w:p>
    <w:p w14:paraId="785645EF" w14:textId="77777777" w:rsidR="0052187C" w:rsidRPr="00120D9F" w:rsidRDefault="0052187C" w:rsidP="006D4FB6">
      <w:pPr>
        <w:rPr>
          <w:sz w:val="16"/>
          <w:lang w:val="en-GB"/>
        </w:rPr>
      </w:pPr>
    </w:p>
    <w:p w14:paraId="48A03121" w14:textId="77777777" w:rsidR="006D4FB6" w:rsidRPr="00802C75" w:rsidRDefault="006D4FB6" w:rsidP="006D4FB6">
      <w:pPr>
        <w:pStyle w:val="Heading3"/>
        <w:rPr>
          <w:lang w:val="en-GB"/>
        </w:rPr>
      </w:pPr>
      <w:r w:rsidRPr="00802C75">
        <w:rPr>
          <w:lang w:val="en-GB"/>
        </w:rPr>
        <w:t>medicine treatment</w:t>
      </w:r>
    </w:p>
    <w:p w14:paraId="44899634" w14:textId="77777777" w:rsidR="000C0C91" w:rsidRPr="00802C75" w:rsidRDefault="006D4FB6" w:rsidP="000C0C91">
      <w:pPr>
        <w:rPr>
          <w:lang w:val="en-GB"/>
        </w:rPr>
      </w:pPr>
      <w:r w:rsidRPr="00802C75">
        <w:rPr>
          <w:b/>
          <w:lang w:val="en-GB"/>
        </w:rPr>
        <w:t xml:space="preserve">Empiric antibiotic therapy </w:t>
      </w:r>
      <w:r w:rsidR="000C0C91" w:rsidRPr="00802C75">
        <w:rPr>
          <w:lang w:val="en-GB"/>
        </w:rPr>
        <w:t>(Duration of therapy 7–14 days):</w:t>
      </w:r>
    </w:p>
    <w:p w14:paraId="6D543336" w14:textId="77777777" w:rsidR="006D4FB6" w:rsidRPr="00802C75" w:rsidRDefault="006D4FB6" w:rsidP="006D4FB6">
      <w:pPr>
        <w:pStyle w:val="Medicinebullet1"/>
        <w:numPr>
          <w:ilvl w:val="0"/>
          <w:numId w:val="3"/>
        </w:numPr>
        <w:rPr>
          <w:rFonts w:cs="Arial"/>
          <w:lang w:val="en-GB"/>
        </w:rPr>
      </w:pPr>
      <w:r w:rsidRPr="00802C75">
        <w:rPr>
          <w:rFonts w:cs="Arial"/>
          <w:lang w:val="en-GB"/>
        </w:rPr>
        <w:t>Amikacin, IV, 15 mg/kg daily.</w:t>
      </w:r>
    </w:p>
    <w:p w14:paraId="523D9527" w14:textId="77777777" w:rsidR="00AC5E41" w:rsidRPr="0040596D" w:rsidRDefault="00AC5E41" w:rsidP="0034204C">
      <w:pPr>
        <w:rPr>
          <w:sz w:val="6"/>
          <w:lang w:val="en-GB"/>
        </w:rPr>
      </w:pPr>
    </w:p>
    <w:p w14:paraId="1F8FE0CC" w14:textId="77777777" w:rsidR="0034204C" w:rsidRPr="00802C75" w:rsidRDefault="006D4FB6" w:rsidP="0034204C">
      <w:pPr>
        <w:rPr>
          <w:b/>
          <w:lang w:val="en-GB"/>
        </w:rPr>
      </w:pPr>
      <w:r w:rsidRPr="00802C75">
        <w:rPr>
          <w:b/>
          <w:lang w:val="en-GB"/>
        </w:rPr>
        <w:t xml:space="preserve">OR </w:t>
      </w:r>
    </w:p>
    <w:p w14:paraId="6DAFAD9A" w14:textId="77777777" w:rsidR="00AC5E41" w:rsidRPr="0040596D" w:rsidRDefault="00AC5E41" w:rsidP="0034204C">
      <w:pPr>
        <w:rPr>
          <w:sz w:val="6"/>
          <w:lang w:val="en-GB"/>
        </w:rPr>
      </w:pPr>
    </w:p>
    <w:p w14:paraId="07A3CF54" w14:textId="77777777" w:rsidR="00CD2C6A" w:rsidRPr="00802C75" w:rsidRDefault="0034204C" w:rsidP="0034204C">
      <w:pPr>
        <w:rPr>
          <w:u w:val="single"/>
          <w:lang w:val="en-GB"/>
        </w:rPr>
      </w:pPr>
      <w:r w:rsidRPr="00802C75">
        <w:rPr>
          <w:u w:val="single"/>
          <w:lang w:val="en-GB"/>
        </w:rPr>
        <w:t>If local resistance patterns show low level resistance to ciprofloxacin</w:t>
      </w:r>
      <w:r w:rsidR="007F35F7" w:rsidRPr="00950521">
        <w:rPr>
          <w:color w:val="auto"/>
          <w:u w:val="single"/>
          <w:lang w:val="en-GB"/>
        </w:rPr>
        <w:t xml:space="preserve"> or culture shows sensitivity</w:t>
      </w:r>
      <w:r w:rsidRPr="00950521">
        <w:rPr>
          <w:color w:val="auto"/>
          <w:u w:val="single"/>
          <w:lang w:val="en-GB"/>
        </w:rPr>
        <w:t>:</w:t>
      </w:r>
    </w:p>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
      </w:tblGrid>
      <w:tr w:rsidR="00CD2C6A" w:rsidRPr="00AE506D" w14:paraId="17830D19" w14:textId="77777777" w:rsidTr="00CB690F">
        <w:tc>
          <w:tcPr>
            <w:tcW w:w="1134" w:type="dxa"/>
            <w:shd w:val="clear" w:color="auto" w:fill="auto"/>
          </w:tcPr>
          <w:p w14:paraId="32559006" w14:textId="35570E18" w:rsidR="00CD2C6A" w:rsidRPr="00AE506D" w:rsidRDefault="00CD2C6A" w:rsidP="00CB690F">
            <w:pPr>
              <w:jc w:val="right"/>
              <w:rPr>
                <w:b/>
                <w:i/>
                <w:sz w:val="16"/>
              </w:rPr>
            </w:pPr>
            <w:proofErr w:type="spellStart"/>
            <w:r w:rsidRPr="00AE506D">
              <w:rPr>
                <w:i/>
                <w:sz w:val="16"/>
              </w:rPr>
              <w:t>LoE:III</w:t>
            </w:r>
            <w:r w:rsidR="00613133">
              <w:rPr>
                <w:i/>
                <w:sz w:val="16"/>
              </w:rPr>
              <w:t>b</w:t>
            </w:r>
            <w:proofErr w:type="spellEnd"/>
            <w:r w:rsidRPr="00AE506D">
              <w:rPr>
                <w:i/>
                <w:sz w:val="16"/>
                <w:vertAlign w:val="superscript"/>
              </w:rPr>
              <w:endnoteReference w:id="22"/>
            </w:r>
          </w:p>
        </w:tc>
      </w:tr>
    </w:tbl>
    <w:p w14:paraId="199A4689" w14:textId="77777777" w:rsidR="0034204C" w:rsidRPr="00CD2C6A" w:rsidRDefault="0034204C" w:rsidP="0034204C">
      <w:pPr>
        <w:rPr>
          <w:sz w:val="2"/>
          <w:lang w:val="en-GB"/>
        </w:rPr>
      </w:pPr>
    </w:p>
    <w:p w14:paraId="4E90B010" w14:textId="77777777" w:rsidR="006D4FB6" w:rsidRPr="008E3B65" w:rsidRDefault="006D4FB6" w:rsidP="008E3B65">
      <w:pPr>
        <w:pStyle w:val="Medicinebullet1"/>
        <w:numPr>
          <w:ilvl w:val="0"/>
          <w:numId w:val="3"/>
        </w:numPr>
        <w:rPr>
          <w:rFonts w:cs="Arial"/>
          <w:lang w:val="en-GB"/>
        </w:rPr>
      </w:pPr>
      <w:r w:rsidRPr="00802C75">
        <w:rPr>
          <w:rFonts w:cs="Arial"/>
          <w:lang w:val="en-GB"/>
        </w:rPr>
        <w:t>Ciprofloxacin, oral</w:t>
      </w:r>
      <w:r w:rsidRPr="008E3B65">
        <w:rPr>
          <w:rFonts w:cs="Arial"/>
          <w:lang w:val="en-GB"/>
        </w:rPr>
        <w:t>, 500 mg 12 hourly.</w:t>
      </w:r>
    </w:p>
    <w:p w14:paraId="1FBF3BCB" w14:textId="77777777" w:rsidR="0034204C" w:rsidRPr="00120D9F" w:rsidRDefault="0034204C" w:rsidP="006D4FB6">
      <w:pPr>
        <w:rPr>
          <w:sz w:val="16"/>
          <w:lang w:val="en-GB"/>
        </w:rPr>
      </w:pPr>
    </w:p>
    <w:p w14:paraId="5510FA2A" w14:textId="77777777" w:rsidR="009434C3" w:rsidRPr="00120D9F" w:rsidRDefault="009434C3" w:rsidP="006D4FB6">
      <w:pPr>
        <w:rPr>
          <w:sz w:val="16"/>
          <w:lang w:val="en-GB"/>
        </w:rPr>
      </w:pPr>
    </w:p>
    <w:p w14:paraId="02474449" w14:textId="77777777" w:rsidR="006D4FB6" w:rsidRPr="00802C75" w:rsidRDefault="006D4FB6" w:rsidP="006D4FB6">
      <w:pPr>
        <w:pStyle w:val="Heading1"/>
        <w:rPr>
          <w:rFonts w:cs="Arial"/>
          <w:lang w:val="en-GB"/>
        </w:rPr>
      </w:pPr>
      <w:r w:rsidRPr="00802C75">
        <w:rPr>
          <w:rFonts w:cs="Arial"/>
          <w:lang w:val="en-GB"/>
        </w:rPr>
        <w:t xml:space="preserve">9.2 ADULT </w:t>
      </w:r>
      <w:r w:rsidR="0056723A" w:rsidRPr="00802C75">
        <w:rPr>
          <w:rFonts w:cs="Arial"/>
          <w:lang w:val="en-GB"/>
        </w:rPr>
        <w:t>VACCINATION</w:t>
      </w:r>
    </w:p>
    <w:p w14:paraId="031362B7" w14:textId="380506CB" w:rsidR="006D4FB6" w:rsidRDefault="006D4FB6" w:rsidP="006D4FB6">
      <w:pPr>
        <w:rPr>
          <w:lang w:val="en-GB"/>
        </w:rPr>
      </w:pPr>
    </w:p>
    <w:p w14:paraId="33E2614E" w14:textId="2128E20E" w:rsidR="0066309A" w:rsidRDefault="0066309A" w:rsidP="006D4FB6">
      <w:pPr>
        <w:rPr>
          <w:lang w:val="en-GB"/>
        </w:rPr>
      </w:pPr>
      <w:r w:rsidRPr="00C704A5">
        <w:rPr>
          <w:b/>
          <w:bCs/>
          <w:lang w:val="en-GB"/>
        </w:rPr>
        <w:t>Note:</w:t>
      </w:r>
      <w:r w:rsidRPr="00C704A5">
        <w:rPr>
          <w:lang w:val="en-GB"/>
        </w:rPr>
        <w:t xml:space="preserve"> </w:t>
      </w:r>
      <w:r w:rsidR="00A10838" w:rsidRPr="00361FC8">
        <w:rPr>
          <w:lang w:val="en-GB"/>
        </w:rPr>
        <w:t>A</w:t>
      </w:r>
      <w:r w:rsidR="0058566E" w:rsidRPr="00C704A5">
        <w:rPr>
          <w:lang w:val="en-GB"/>
        </w:rPr>
        <w:t>s COVID vaccination recommendations are being updated regularly as new evidence emerges, please consult the latest National Department of Health vaccine policy recommendations.</w:t>
      </w:r>
    </w:p>
    <w:p w14:paraId="7C822E48" w14:textId="7489196C" w:rsidR="0066309A" w:rsidRDefault="0066309A" w:rsidP="006D4FB6">
      <w:pPr>
        <w:rPr>
          <w:lang w:val="en-GB"/>
        </w:rPr>
      </w:pPr>
    </w:p>
    <w:p w14:paraId="4AA13EAB" w14:textId="0C538A47" w:rsidR="00B81570" w:rsidRDefault="00B81570" w:rsidP="006D4FB6">
      <w:pPr>
        <w:rPr>
          <w:lang w:val="en-GB"/>
        </w:rPr>
      </w:pPr>
    </w:p>
    <w:p w14:paraId="7BEC8A59" w14:textId="252EF99C" w:rsidR="00B81570" w:rsidRDefault="00B81570" w:rsidP="006D4FB6">
      <w:pPr>
        <w:rPr>
          <w:lang w:val="en-GB"/>
        </w:rPr>
      </w:pPr>
    </w:p>
    <w:p w14:paraId="162A9823" w14:textId="5E9A73FA" w:rsidR="00B81570" w:rsidRDefault="00B81570" w:rsidP="006D4FB6">
      <w:pPr>
        <w:rPr>
          <w:lang w:val="en-GB"/>
        </w:rPr>
      </w:pPr>
    </w:p>
    <w:p w14:paraId="666033D5" w14:textId="1A94A912" w:rsidR="00B81570" w:rsidRDefault="00B81570" w:rsidP="006D4FB6">
      <w:pPr>
        <w:rPr>
          <w:lang w:val="en-GB"/>
        </w:rPr>
      </w:pPr>
    </w:p>
    <w:p w14:paraId="5426E816" w14:textId="06D82642" w:rsidR="00B81570" w:rsidRDefault="00B81570" w:rsidP="006D4FB6">
      <w:pPr>
        <w:rPr>
          <w:lang w:val="en-GB"/>
        </w:rPr>
      </w:pPr>
    </w:p>
    <w:p w14:paraId="2D4073B1" w14:textId="1803B2A2" w:rsidR="00B81570" w:rsidRDefault="00B81570" w:rsidP="006D4FB6">
      <w:pPr>
        <w:rPr>
          <w:lang w:val="en-GB"/>
        </w:rPr>
      </w:pPr>
    </w:p>
    <w:p w14:paraId="60E8B9FB" w14:textId="77777777" w:rsidR="00B81570" w:rsidRDefault="00B81570" w:rsidP="006D4FB6">
      <w:pPr>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8"/>
        <w:gridCol w:w="2348"/>
        <w:gridCol w:w="2158"/>
      </w:tblGrid>
      <w:tr w:rsidR="006D4FB6" w:rsidRPr="00802C75" w14:paraId="3E4BD070" w14:textId="77777777" w:rsidTr="00353369">
        <w:trPr>
          <w:trHeight w:val="306"/>
        </w:trPr>
        <w:tc>
          <w:tcPr>
            <w:tcW w:w="1315" w:type="pct"/>
            <w:tcBorders>
              <w:bottom w:val="single" w:sz="4" w:space="0" w:color="auto"/>
            </w:tcBorders>
            <w:shd w:val="pct20" w:color="auto" w:fill="FFFFFF"/>
            <w:tcMar>
              <w:left w:w="57" w:type="dxa"/>
              <w:right w:w="57" w:type="dxa"/>
            </w:tcMar>
            <w:vAlign w:val="center"/>
          </w:tcPr>
          <w:p w14:paraId="19BEB0D2" w14:textId="77777777" w:rsidR="006D4FB6" w:rsidRPr="00802C75" w:rsidRDefault="006D4FB6" w:rsidP="006D4FB6">
            <w:pPr>
              <w:jc w:val="center"/>
              <w:rPr>
                <w:b/>
                <w:sz w:val="16"/>
                <w:szCs w:val="16"/>
                <w:lang w:val="en-GB"/>
              </w:rPr>
            </w:pPr>
            <w:r w:rsidRPr="00802C75">
              <w:rPr>
                <w:b/>
                <w:sz w:val="16"/>
                <w:szCs w:val="16"/>
                <w:lang w:val="en-GB"/>
              </w:rPr>
              <w:t>Vaccine</w:t>
            </w:r>
          </w:p>
        </w:tc>
        <w:tc>
          <w:tcPr>
            <w:tcW w:w="1920" w:type="pct"/>
            <w:tcBorders>
              <w:bottom w:val="single" w:sz="4" w:space="0" w:color="auto"/>
            </w:tcBorders>
            <w:shd w:val="pct20" w:color="auto" w:fill="FFFFFF"/>
            <w:tcMar>
              <w:left w:w="57" w:type="dxa"/>
              <w:right w:w="57" w:type="dxa"/>
            </w:tcMar>
            <w:vAlign w:val="center"/>
          </w:tcPr>
          <w:p w14:paraId="43922474" w14:textId="77777777" w:rsidR="006D4FB6" w:rsidRPr="00802C75" w:rsidRDefault="006D4FB6" w:rsidP="006D4FB6">
            <w:pPr>
              <w:jc w:val="center"/>
              <w:rPr>
                <w:b/>
                <w:sz w:val="16"/>
                <w:szCs w:val="16"/>
                <w:lang w:val="en-GB"/>
              </w:rPr>
            </w:pPr>
            <w:r w:rsidRPr="00802C75">
              <w:rPr>
                <w:b/>
                <w:sz w:val="16"/>
                <w:szCs w:val="16"/>
                <w:lang w:val="en-GB"/>
              </w:rPr>
              <w:t>Indications</w:t>
            </w:r>
          </w:p>
        </w:tc>
        <w:tc>
          <w:tcPr>
            <w:tcW w:w="1765" w:type="pct"/>
            <w:tcBorders>
              <w:bottom w:val="single" w:sz="4" w:space="0" w:color="auto"/>
            </w:tcBorders>
            <w:shd w:val="pct20" w:color="auto" w:fill="FFFFFF"/>
            <w:tcMar>
              <w:left w:w="57" w:type="dxa"/>
              <w:right w:w="57" w:type="dxa"/>
            </w:tcMar>
            <w:vAlign w:val="center"/>
          </w:tcPr>
          <w:p w14:paraId="588D42E2" w14:textId="77777777" w:rsidR="006D4FB6" w:rsidRPr="00802C75" w:rsidRDefault="006D4FB6" w:rsidP="006D4FB6">
            <w:pPr>
              <w:jc w:val="center"/>
              <w:rPr>
                <w:b/>
                <w:sz w:val="16"/>
                <w:szCs w:val="16"/>
                <w:lang w:val="en-GB"/>
              </w:rPr>
            </w:pPr>
            <w:r w:rsidRPr="00802C75">
              <w:rPr>
                <w:b/>
                <w:sz w:val="16"/>
                <w:szCs w:val="16"/>
                <w:lang w:val="en-GB"/>
              </w:rPr>
              <w:t>Comments</w:t>
            </w:r>
          </w:p>
        </w:tc>
      </w:tr>
      <w:tr w:rsidR="006D4FB6" w:rsidRPr="00802C75" w14:paraId="7F664B56" w14:textId="77777777" w:rsidTr="007B37F8">
        <w:trPr>
          <w:trHeight w:val="1417"/>
        </w:trPr>
        <w:tc>
          <w:tcPr>
            <w:tcW w:w="1315" w:type="pct"/>
            <w:tcBorders>
              <w:top w:val="single" w:sz="4" w:space="0" w:color="auto"/>
              <w:bottom w:val="single" w:sz="4" w:space="0" w:color="auto"/>
            </w:tcBorders>
            <w:tcMar>
              <w:left w:w="57" w:type="dxa"/>
              <w:right w:w="57" w:type="dxa"/>
            </w:tcMar>
            <w:vAlign w:val="center"/>
          </w:tcPr>
          <w:p w14:paraId="7D882795" w14:textId="77777777" w:rsidR="006D4FB6" w:rsidRDefault="006D4FB6" w:rsidP="006D4FB6">
            <w:pPr>
              <w:pStyle w:val="Medicinebullet1"/>
              <w:numPr>
                <w:ilvl w:val="0"/>
                <w:numId w:val="3"/>
              </w:numPr>
              <w:ind w:left="284" w:hanging="284"/>
              <w:rPr>
                <w:rFonts w:cs="Arial"/>
                <w:sz w:val="16"/>
                <w:szCs w:val="16"/>
                <w:lang w:val="en-GB"/>
              </w:rPr>
            </w:pPr>
            <w:r w:rsidRPr="00802C75">
              <w:rPr>
                <w:rFonts w:cs="Arial"/>
                <w:sz w:val="16"/>
                <w:szCs w:val="16"/>
                <w:lang w:val="en-GB"/>
              </w:rPr>
              <w:t>Influenza vaccine</w:t>
            </w:r>
          </w:p>
          <w:p w14:paraId="6B638998" w14:textId="0FF36BC5" w:rsidR="0033323F" w:rsidRPr="00802C75" w:rsidRDefault="0033323F" w:rsidP="0033323F">
            <w:pPr>
              <w:pStyle w:val="Medicinebullet1"/>
              <w:ind w:left="284"/>
              <w:rPr>
                <w:rFonts w:cs="Arial"/>
                <w:sz w:val="16"/>
                <w:szCs w:val="16"/>
                <w:lang w:val="en-GB"/>
              </w:rPr>
            </w:pPr>
            <w:r w:rsidRPr="00160AC4">
              <w:rPr>
                <w:rFonts w:cs="Arial"/>
                <w:sz w:val="14"/>
                <w:szCs w:val="16"/>
                <w:lang w:val="en-GB"/>
              </w:rPr>
              <w:t>Z25.1</w:t>
            </w:r>
          </w:p>
        </w:tc>
        <w:tc>
          <w:tcPr>
            <w:tcW w:w="1920" w:type="pct"/>
            <w:tcBorders>
              <w:top w:val="nil"/>
              <w:bottom w:val="single" w:sz="4" w:space="0" w:color="auto"/>
            </w:tcBorders>
            <w:tcMar>
              <w:left w:w="57" w:type="dxa"/>
              <w:right w:w="57" w:type="dxa"/>
            </w:tcMar>
            <w:vAlign w:val="center"/>
          </w:tcPr>
          <w:p w14:paraId="45EA41D4" w14:textId="594D5F99" w:rsidR="00B73C44" w:rsidRPr="00B73C44" w:rsidRDefault="00B73C44" w:rsidP="00B73C44">
            <w:pPr>
              <w:pStyle w:val="Textbullet"/>
              <w:ind w:left="215" w:hanging="215"/>
              <w:jc w:val="left"/>
              <w:rPr>
                <w:sz w:val="16"/>
                <w:szCs w:val="16"/>
                <w:lang w:val="en-GB"/>
              </w:rPr>
            </w:pPr>
            <w:r>
              <w:rPr>
                <w:sz w:val="16"/>
                <w:szCs w:val="16"/>
                <w:lang w:val="en-GB"/>
              </w:rPr>
              <w:t>Pregnant women</w:t>
            </w:r>
          </w:p>
          <w:p w14:paraId="64A27FD5" w14:textId="0436D085" w:rsidR="006D4FB6" w:rsidRPr="00802C75" w:rsidRDefault="00B55B85" w:rsidP="006D4FB6">
            <w:pPr>
              <w:pStyle w:val="Textbullet"/>
              <w:ind w:left="215" w:hanging="215"/>
              <w:jc w:val="left"/>
              <w:rPr>
                <w:sz w:val="16"/>
                <w:szCs w:val="16"/>
                <w:lang w:val="en-GB"/>
              </w:rPr>
            </w:pPr>
            <w:r>
              <w:rPr>
                <w:sz w:val="16"/>
                <w:szCs w:val="16"/>
                <w:lang w:val="en-GB"/>
              </w:rPr>
              <w:t>E</w:t>
            </w:r>
            <w:r w:rsidRPr="00802C75">
              <w:rPr>
                <w:sz w:val="16"/>
                <w:szCs w:val="16"/>
                <w:lang w:val="en-GB"/>
              </w:rPr>
              <w:t xml:space="preserve">lderly </w:t>
            </w:r>
            <w:r w:rsidR="006D4FB6" w:rsidRPr="00802C75">
              <w:rPr>
                <w:sz w:val="16"/>
                <w:szCs w:val="16"/>
                <w:lang w:val="en-GB"/>
              </w:rPr>
              <w:t xml:space="preserve">patients </w:t>
            </w:r>
            <w:r w:rsidR="00797FCE">
              <w:rPr>
                <w:sz w:val="16"/>
                <w:szCs w:val="16"/>
                <w:lang w:val="en-GB"/>
              </w:rPr>
              <w:t>&gt;</w:t>
            </w:r>
            <w:r w:rsidR="006D4FB6" w:rsidRPr="00802C75">
              <w:rPr>
                <w:sz w:val="16"/>
                <w:szCs w:val="16"/>
                <w:lang w:val="en-GB"/>
              </w:rPr>
              <w:t>65 years</w:t>
            </w:r>
            <w:r>
              <w:rPr>
                <w:sz w:val="16"/>
                <w:szCs w:val="16"/>
                <w:lang w:val="en-GB"/>
              </w:rPr>
              <w:t>.</w:t>
            </w:r>
          </w:p>
          <w:p w14:paraId="490EF2B5" w14:textId="77777777" w:rsidR="006D4FB6" w:rsidRPr="00802C75" w:rsidRDefault="00B55B85" w:rsidP="006D4FB6">
            <w:pPr>
              <w:pStyle w:val="Textbullet"/>
              <w:ind w:left="215" w:hanging="215"/>
              <w:jc w:val="left"/>
              <w:rPr>
                <w:sz w:val="16"/>
                <w:szCs w:val="16"/>
                <w:lang w:val="en-GB"/>
              </w:rPr>
            </w:pPr>
            <w:r w:rsidRPr="00802C75">
              <w:rPr>
                <w:sz w:val="16"/>
                <w:szCs w:val="16"/>
                <w:lang w:val="en-GB"/>
              </w:rPr>
              <w:t>HIV</w:t>
            </w:r>
            <w:r>
              <w:rPr>
                <w:sz w:val="16"/>
                <w:szCs w:val="16"/>
                <w:lang w:val="en-GB"/>
              </w:rPr>
              <w:t>-</w:t>
            </w:r>
            <w:r w:rsidR="006D4FB6" w:rsidRPr="00802C75">
              <w:rPr>
                <w:sz w:val="16"/>
                <w:szCs w:val="16"/>
                <w:lang w:val="en-GB"/>
              </w:rPr>
              <w:t xml:space="preserve">infected </w:t>
            </w:r>
            <w:r w:rsidRPr="00802C75">
              <w:rPr>
                <w:sz w:val="16"/>
                <w:szCs w:val="16"/>
                <w:lang w:val="en-GB"/>
              </w:rPr>
              <w:t>p</w:t>
            </w:r>
            <w:r>
              <w:rPr>
                <w:sz w:val="16"/>
                <w:szCs w:val="16"/>
                <w:lang w:val="en-GB"/>
              </w:rPr>
              <w:t>atients.</w:t>
            </w:r>
          </w:p>
          <w:p w14:paraId="5D81EBE9" w14:textId="34AE6F61" w:rsidR="006D4FB6" w:rsidRPr="00802C75" w:rsidRDefault="00B55B85" w:rsidP="006D4FB6">
            <w:pPr>
              <w:pStyle w:val="Textbullet"/>
              <w:ind w:left="215" w:hanging="215"/>
              <w:jc w:val="left"/>
              <w:rPr>
                <w:sz w:val="16"/>
                <w:szCs w:val="16"/>
                <w:lang w:val="en-GB"/>
              </w:rPr>
            </w:pPr>
            <w:r>
              <w:rPr>
                <w:sz w:val="16"/>
                <w:szCs w:val="16"/>
                <w:lang w:val="en-GB"/>
              </w:rPr>
              <w:t>P</w:t>
            </w:r>
            <w:r w:rsidR="006D4FB6" w:rsidRPr="00802C75">
              <w:rPr>
                <w:sz w:val="16"/>
                <w:szCs w:val="16"/>
                <w:lang w:val="en-GB"/>
              </w:rPr>
              <w:t>atients with chronic</w:t>
            </w:r>
            <w:r w:rsidR="00023EC2">
              <w:rPr>
                <w:sz w:val="16"/>
                <w:szCs w:val="16"/>
                <w:lang w:val="en-GB"/>
              </w:rPr>
              <w:t xml:space="preserve"> </w:t>
            </w:r>
            <w:r w:rsidR="006D4FB6" w:rsidRPr="00802C75">
              <w:rPr>
                <w:sz w:val="16"/>
                <w:szCs w:val="16"/>
                <w:lang w:val="en-GB"/>
              </w:rPr>
              <w:t>pulmonary</w:t>
            </w:r>
            <w:r w:rsidR="00642113" w:rsidRPr="00802C75">
              <w:rPr>
                <w:sz w:val="16"/>
                <w:szCs w:val="16"/>
                <w:lang w:val="en-GB"/>
              </w:rPr>
              <w:t xml:space="preserve">, </w:t>
            </w:r>
            <w:r w:rsidR="006D4FB6" w:rsidRPr="00802C75">
              <w:rPr>
                <w:sz w:val="16"/>
                <w:szCs w:val="16"/>
                <w:lang w:val="en-GB"/>
              </w:rPr>
              <w:t>cardiac</w:t>
            </w:r>
            <w:r w:rsidR="00642113" w:rsidRPr="00802C75">
              <w:rPr>
                <w:sz w:val="16"/>
                <w:szCs w:val="16"/>
                <w:lang w:val="en-GB"/>
              </w:rPr>
              <w:t>,</w:t>
            </w:r>
            <w:r w:rsidR="00B73C44">
              <w:rPr>
                <w:sz w:val="16"/>
                <w:szCs w:val="16"/>
                <w:lang w:val="en-GB"/>
              </w:rPr>
              <w:t xml:space="preserve"> </w:t>
            </w:r>
            <w:r w:rsidR="00642113" w:rsidRPr="00802C75">
              <w:rPr>
                <w:sz w:val="16"/>
                <w:szCs w:val="16"/>
                <w:lang w:val="en-GB"/>
              </w:rPr>
              <w:t>and renal</w:t>
            </w:r>
            <w:r w:rsidR="006D4FB6" w:rsidRPr="00802C75">
              <w:rPr>
                <w:sz w:val="16"/>
                <w:szCs w:val="16"/>
                <w:lang w:val="en-GB"/>
              </w:rPr>
              <w:t xml:space="preserve"> conditions</w:t>
            </w:r>
            <w:r>
              <w:rPr>
                <w:sz w:val="16"/>
                <w:szCs w:val="16"/>
                <w:lang w:val="en-GB"/>
              </w:rPr>
              <w:t>.</w:t>
            </w:r>
          </w:p>
          <w:p w14:paraId="5C442189" w14:textId="0BB02777" w:rsidR="002564A5" w:rsidRPr="007F35F7" w:rsidRDefault="0040596D" w:rsidP="00E70D78">
            <w:pPr>
              <w:pStyle w:val="Textbullet"/>
              <w:ind w:left="215" w:hanging="215"/>
              <w:jc w:val="left"/>
              <w:rPr>
                <w:sz w:val="16"/>
                <w:szCs w:val="16"/>
                <w:lang w:val="en-GB"/>
              </w:rPr>
            </w:pPr>
            <w:r>
              <w:rPr>
                <w:sz w:val="16"/>
                <w:szCs w:val="16"/>
                <w:lang w:val="en-GB"/>
              </w:rPr>
              <w:t>H</w:t>
            </w:r>
            <w:r w:rsidR="006D4FB6" w:rsidRPr="00802C75">
              <w:rPr>
                <w:sz w:val="16"/>
                <w:szCs w:val="16"/>
                <w:lang w:val="en-GB"/>
              </w:rPr>
              <w:t xml:space="preserve">ealthcare workers with direct patient </w:t>
            </w:r>
            <w:proofErr w:type="gramStart"/>
            <w:r w:rsidR="006D4FB6" w:rsidRPr="00802C75">
              <w:rPr>
                <w:sz w:val="16"/>
                <w:szCs w:val="16"/>
                <w:lang w:val="en-GB"/>
              </w:rPr>
              <w:t>contact</w:t>
            </w:r>
            <w:r w:rsidR="007F35F7">
              <w:rPr>
                <w:sz w:val="16"/>
                <w:szCs w:val="16"/>
                <w:lang w:val="en-GB"/>
              </w:rPr>
              <w:t>.</w:t>
            </w:r>
            <w:r w:rsidR="00E70D78">
              <w:rPr>
                <w:sz w:val="16"/>
                <w:szCs w:val="16"/>
                <w:lang w:val="en-GB"/>
              </w:rPr>
              <w:t>*</w:t>
            </w:r>
            <w:proofErr w:type="gramEnd"/>
            <w:r w:rsidR="00E70D78">
              <w:rPr>
                <w:sz w:val="16"/>
                <w:szCs w:val="16"/>
                <w:lang w:val="en-GB"/>
              </w:rPr>
              <w:t>*</w:t>
            </w:r>
          </w:p>
        </w:tc>
        <w:tc>
          <w:tcPr>
            <w:tcW w:w="1765" w:type="pct"/>
            <w:tcBorders>
              <w:top w:val="nil"/>
              <w:bottom w:val="single" w:sz="4" w:space="0" w:color="auto"/>
            </w:tcBorders>
            <w:tcMar>
              <w:left w:w="57" w:type="dxa"/>
              <w:right w:w="57" w:type="dxa"/>
            </w:tcMar>
            <w:vAlign w:val="center"/>
          </w:tcPr>
          <w:p w14:paraId="3CC76115" w14:textId="6E734D41" w:rsidR="006D4FB6" w:rsidRPr="00802C75" w:rsidRDefault="006D4FB6" w:rsidP="00536723">
            <w:pPr>
              <w:numPr>
                <w:ilvl w:val="0"/>
                <w:numId w:val="7"/>
              </w:numPr>
              <w:tabs>
                <w:tab w:val="clear" w:pos="2694"/>
                <w:tab w:val="clear" w:pos="2977"/>
              </w:tabs>
              <w:ind w:left="225" w:hanging="225"/>
              <w:jc w:val="left"/>
              <w:rPr>
                <w:spacing w:val="-6"/>
                <w:sz w:val="16"/>
                <w:szCs w:val="16"/>
                <w:lang w:val="en-GB"/>
              </w:rPr>
            </w:pPr>
            <w:r w:rsidRPr="00802C75">
              <w:rPr>
                <w:spacing w:val="-6"/>
                <w:sz w:val="16"/>
                <w:szCs w:val="16"/>
                <w:lang w:val="en-GB"/>
              </w:rPr>
              <w:t xml:space="preserve">Contraindication: </w:t>
            </w:r>
            <w:r w:rsidR="00E70D78">
              <w:rPr>
                <w:spacing w:val="-6"/>
                <w:sz w:val="16"/>
                <w:szCs w:val="16"/>
                <w:lang w:val="en-GB"/>
              </w:rPr>
              <w:t xml:space="preserve">severe </w:t>
            </w:r>
            <w:r w:rsidRPr="00802C75">
              <w:rPr>
                <w:spacing w:val="-6"/>
                <w:sz w:val="16"/>
                <w:szCs w:val="16"/>
                <w:lang w:val="en-GB"/>
              </w:rPr>
              <w:t>egg allergy</w:t>
            </w:r>
            <w:r w:rsidR="0002185E">
              <w:rPr>
                <w:spacing w:val="-6"/>
                <w:sz w:val="16"/>
                <w:szCs w:val="16"/>
                <w:lang w:val="en-GB"/>
              </w:rPr>
              <w:t>, &lt;6 months</w:t>
            </w:r>
            <w:r w:rsidR="00353369">
              <w:rPr>
                <w:spacing w:val="-6"/>
                <w:sz w:val="16"/>
                <w:szCs w:val="16"/>
                <w:lang w:val="en-GB"/>
              </w:rPr>
              <w:t xml:space="preserve"> of age.</w:t>
            </w:r>
          </w:p>
          <w:p w14:paraId="47E43413" w14:textId="77777777" w:rsidR="006D4FB6" w:rsidRPr="00802C75" w:rsidRDefault="006D4FB6" w:rsidP="00536723">
            <w:pPr>
              <w:numPr>
                <w:ilvl w:val="0"/>
                <w:numId w:val="7"/>
              </w:numPr>
              <w:tabs>
                <w:tab w:val="clear" w:pos="2694"/>
                <w:tab w:val="clear" w:pos="2977"/>
              </w:tabs>
              <w:ind w:left="225" w:hanging="225"/>
              <w:jc w:val="left"/>
              <w:rPr>
                <w:sz w:val="16"/>
                <w:szCs w:val="16"/>
                <w:lang w:val="en-GB"/>
              </w:rPr>
            </w:pPr>
            <w:r w:rsidRPr="00802C75">
              <w:rPr>
                <w:sz w:val="16"/>
                <w:szCs w:val="16"/>
                <w:lang w:val="en-GB"/>
              </w:rPr>
              <w:t xml:space="preserve">Dose: IM, 0.5 </w:t>
            </w:r>
            <w:proofErr w:type="spellStart"/>
            <w:r w:rsidRPr="00802C75">
              <w:rPr>
                <w:sz w:val="16"/>
                <w:szCs w:val="16"/>
                <w:lang w:val="en-GB"/>
              </w:rPr>
              <w:t>mL.</w:t>
            </w:r>
            <w:proofErr w:type="spellEnd"/>
          </w:p>
          <w:p w14:paraId="57481C1E" w14:textId="3DA08EF0" w:rsidR="006D4FB6" w:rsidRDefault="006D4FB6" w:rsidP="00353369">
            <w:pPr>
              <w:numPr>
                <w:ilvl w:val="0"/>
                <w:numId w:val="7"/>
              </w:numPr>
              <w:tabs>
                <w:tab w:val="clear" w:pos="2694"/>
                <w:tab w:val="clear" w:pos="2977"/>
              </w:tabs>
              <w:ind w:left="225" w:hanging="225"/>
              <w:jc w:val="left"/>
              <w:rPr>
                <w:sz w:val="16"/>
                <w:szCs w:val="16"/>
                <w:lang w:val="en-GB"/>
              </w:rPr>
            </w:pPr>
            <w:r w:rsidRPr="00802C75">
              <w:rPr>
                <w:sz w:val="16"/>
                <w:szCs w:val="16"/>
                <w:lang w:val="en-GB"/>
              </w:rPr>
              <w:t>Repeat annually.</w:t>
            </w:r>
          </w:p>
          <w:p w14:paraId="53985C89" w14:textId="77777777" w:rsidR="00966FD4" w:rsidRDefault="00966FD4" w:rsidP="00353369">
            <w:pPr>
              <w:numPr>
                <w:ilvl w:val="0"/>
                <w:numId w:val="7"/>
              </w:numPr>
              <w:tabs>
                <w:tab w:val="clear" w:pos="2694"/>
                <w:tab w:val="clear" w:pos="2977"/>
              </w:tabs>
              <w:ind w:left="225" w:hanging="225"/>
              <w:jc w:val="left"/>
              <w:rPr>
                <w:sz w:val="16"/>
                <w:szCs w:val="16"/>
                <w:lang w:val="en-GB"/>
              </w:rPr>
            </w:pPr>
          </w:p>
          <w:p w14:paraId="5B7BCE0C" w14:textId="77777777" w:rsidR="007B37F8" w:rsidRDefault="007B37F8" w:rsidP="00536723">
            <w:pPr>
              <w:ind w:left="225" w:hanging="225"/>
              <w:jc w:val="left"/>
              <w:rPr>
                <w:sz w:val="16"/>
                <w:szCs w:val="16"/>
                <w:lang w:val="en-GB"/>
              </w:rPr>
            </w:pPr>
          </w:p>
          <w:p w14:paraId="3E1184F2" w14:textId="77777777" w:rsidR="007B37F8" w:rsidRDefault="007B37F8" w:rsidP="00536723">
            <w:pPr>
              <w:ind w:left="225" w:hanging="225"/>
              <w:jc w:val="left"/>
              <w:rPr>
                <w:sz w:val="16"/>
                <w:szCs w:val="16"/>
                <w:lang w:val="en-GB"/>
              </w:rPr>
            </w:pPr>
          </w:p>
          <w:p w14:paraId="18AEA7C1" w14:textId="5767A428" w:rsidR="007B37F8" w:rsidRPr="00802C75" w:rsidRDefault="007B37F8" w:rsidP="00536723">
            <w:pPr>
              <w:ind w:left="225" w:hanging="225"/>
              <w:jc w:val="left"/>
              <w:rPr>
                <w:sz w:val="16"/>
                <w:szCs w:val="16"/>
                <w:lang w:val="en-GB"/>
              </w:rPr>
            </w:pPr>
          </w:p>
        </w:tc>
      </w:tr>
      <w:tr w:rsidR="006D4FB6" w:rsidRPr="00802C75" w14:paraId="5E219558" w14:textId="77777777" w:rsidTr="00120D9F">
        <w:trPr>
          <w:trHeight w:val="217"/>
        </w:trPr>
        <w:tc>
          <w:tcPr>
            <w:tcW w:w="1315" w:type="pct"/>
            <w:tcBorders>
              <w:top w:val="single" w:sz="4" w:space="0" w:color="auto"/>
              <w:bottom w:val="single" w:sz="4" w:space="0" w:color="auto"/>
            </w:tcBorders>
            <w:tcMar>
              <w:left w:w="57" w:type="dxa"/>
              <w:right w:w="57" w:type="dxa"/>
            </w:tcMar>
            <w:vAlign w:val="center"/>
          </w:tcPr>
          <w:p w14:paraId="1265133D" w14:textId="011D9EB3" w:rsidR="006D4FB6" w:rsidRDefault="006D4FB6" w:rsidP="006D4FB6">
            <w:pPr>
              <w:pStyle w:val="Medicinebullet1"/>
              <w:numPr>
                <w:ilvl w:val="0"/>
                <w:numId w:val="3"/>
              </w:numPr>
              <w:ind w:left="284" w:hanging="284"/>
              <w:rPr>
                <w:rFonts w:cs="Arial"/>
                <w:sz w:val="16"/>
                <w:szCs w:val="16"/>
                <w:lang w:val="en-GB"/>
              </w:rPr>
            </w:pPr>
            <w:r w:rsidRPr="00802C75">
              <w:rPr>
                <w:rFonts w:cs="Arial"/>
                <w:sz w:val="16"/>
                <w:szCs w:val="16"/>
                <w:lang w:val="en-GB"/>
              </w:rPr>
              <w:t>Pneumococcal vaccine (23 valent polysaccharide)</w:t>
            </w:r>
          </w:p>
          <w:p w14:paraId="4A9FBB57" w14:textId="520CCC3B" w:rsidR="0033323F" w:rsidRPr="00802C75" w:rsidRDefault="0033323F" w:rsidP="0033323F">
            <w:pPr>
              <w:pStyle w:val="Medicinebullet1"/>
              <w:ind w:left="284"/>
              <w:rPr>
                <w:rFonts w:cs="Arial"/>
                <w:sz w:val="16"/>
                <w:szCs w:val="16"/>
                <w:lang w:val="en-GB"/>
              </w:rPr>
            </w:pPr>
            <w:r w:rsidRPr="00160AC4">
              <w:rPr>
                <w:rFonts w:cs="Arial"/>
                <w:sz w:val="14"/>
                <w:szCs w:val="16"/>
                <w:lang w:val="en-GB"/>
              </w:rPr>
              <w:t>Z23.8</w:t>
            </w:r>
          </w:p>
        </w:tc>
        <w:tc>
          <w:tcPr>
            <w:tcW w:w="1920" w:type="pct"/>
            <w:tcBorders>
              <w:top w:val="single" w:sz="4" w:space="0" w:color="auto"/>
              <w:bottom w:val="single" w:sz="4" w:space="0" w:color="auto"/>
            </w:tcBorders>
            <w:tcMar>
              <w:left w:w="57" w:type="dxa"/>
              <w:right w:w="57" w:type="dxa"/>
            </w:tcMar>
            <w:vAlign w:val="center"/>
          </w:tcPr>
          <w:p w14:paraId="6CE2CA93" w14:textId="338A0952" w:rsidR="006D4FB6" w:rsidRPr="00BB1D9C" w:rsidRDefault="00B55B85" w:rsidP="006D4FB6">
            <w:pPr>
              <w:pStyle w:val="Textbullet"/>
              <w:ind w:left="215" w:hanging="215"/>
              <w:jc w:val="left"/>
              <w:rPr>
                <w:sz w:val="16"/>
                <w:szCs w:val="16"/>
                <w:lang w:val="en-GB"/>
              </w:rPr>
            </w:pPr>
            <w:proofErr w:type="spellStart"/>
            <w:r w:rsidRPr="00BB1D9C">
              <w:rPr>
                <w:sz w:val="16"/>
                <w:szCs w:val="16"/>
                <w:lang w:val="en-GB"/>
              </w:rPr>
              <w:t>Asplenic</w:t>
            </w:r>
            <w:proofErr w:type="spellEnd"/>
            <w:r w:rsidRPr="00BB1D9C">
              <w:rPr>
                <w:sz w:val="16"/>
                <w:szCs w:val="16"/>
                <w:lang w:val="en-GB"/>
              </w:rPr>
              <w:t xml:space="preserve"> </w:t>
            </w:r>
            <w:r w:rsidR="006D4FB6" w:rsidRPr="00BB1D9C">
              <w:rPr>
                <w:sz w:val="16"/>
                <w:szCs w:val="16"/>
                <w:lang w:val="en-GB"/>
              </w:rPr>
              <w:t>patients</w:t>
            </w:r>
            <w:r w:rsidR="0040596D">
              <w:rPr>
                <w:sz w:val="16"/>
                <w:szCs w:val="16"/>
                <w:lang w:val="en-GB"/>
              </w:rPr>
              <w:t>.</w:t>
            </w:r>
          </w:p>
          <w:p w14:paraId="53825EAA" w14:textId="2ACA226E" w:rsidR="006D4FB6" w:rsidRDefault="00B55B85" w:rsidP="006D4FB6">
            <w:pPr>
              <w:pStyle w:val="Textbullet"/>
              <w:ind w:left="215" w:hanging="215"/>
              <w:jc w:val="left"/>
              <w:rPr>
                <w:sz w:val="16"/>
                <w:szCs w:val="16"/>
                <w:lang w:val="en-GB"/>
              </w:rPr>
            </w:pPr>
            <w:r>
              <w:rPr>
                <w:sz w:val="16"/>
                <w:szCs w:val="16"/>
                <w:lang w:val="en-GB"/>
              </w:rPr>
              <w:t>C</w:t>
            </w:r>
            <w:r w:rsidRPr="00802C75">
              <w:rPr>
                <w:sz w:val="16"/>
                <w:szCs w:val="16"/>
                <w:lang w:val="en-GB"/>
              </w:rPr>
              <w:t xml:space="preserve">hronic </w:t>
            </w:r>
            <w:r w:rsidR="006D4FB6" w:rsidRPr="00802C75">
              <w:rPr>
                <w:sz w:val="16"/>
                <w:szCs w:val="16"/>
                <w:lang w:val="en-GB"/>
              </w:rPr>
              <w:t>cerebrospinal fluid (CSF) leak</w:t>
            </w:r>
            <w:r>
              <w:rPr>
                <w:sz w:val="16"/>
                <w:szCs w:val="16"/>
                <w:lang w:val="en-GB"/>
              </w:rPr>
              <w:t>.</w:t>
            </w:r>
          </w:p>
          <w:p w14:paraId="4B7683F0" w14:textId="77777777" w:rsidR="002564A5" w:rsidRPr="00802C75" w:rsidRDefault="002564A5" w:rsidP="002564A5">
            <w:pPr>
              <w:pStyle w:val="Textbullet"/>
              <w:numPr>
                <w:ilvl w:val="0"/>
                <w:numId w:val="0"/>
              </w:numPr>
              <w:jc w:val="left"/>
              <w:rPr>
                <w:sz w:val="16"/>
                <w:szCs w:val="16"/>
                <w:lang w:val="en-GB"/>
              </w:rPr>
            </w:pPr>
          </w:p>
        </w:tc>
        <w:tc>
          <w:tcPr>
            <w:tcW w:w="1765" w:type="pct"/>
            <w:tcBorders>
              <w:top w:val="single" w:sz="4" w:space="0" w:color="auto"/>
              <w:bottom w:val="single" w:sz="4" w:space="0" w:color="auto"/>
            </w:tcBorders>
            <w:tcMar>
              <w:left w:w="57" w:type="dxa"/>
              <w:right w:w="57" w:type="dxa"/>
            </w:tcMar>
            <w:vAlign w:val="center"/>
          </w:tcPr>
          <w:p w14:paraId="1CB06269" w14:textId="0C488FAB" w:rsidR="006D4FB6" w:rsidRPr="00802C75" w:rsidRDefault="006D4FB6" w:rsidP="00B22C75">
            <w:pPr>
              <w:numPr>
                <w:ilvl w:val="0"/>
                <w:numId w:val="7"/>
              </w:numPr>
              <w:tabs>
                <w:tab w:val="clear" w:pos="2694"/>
                <w:tab w:val="clear" w:pos="2977"/>
              </w:tabs>
              <w:ind w:left="261" w:hanging="261"/>
              <w:jc w:val="left"/>
              <w:rPr>
                <w:spacing w:val="-6"/>
                <w:sz w:val="16"/>
                <w:szCs w:val="16"/>
                <w:lang w:val="en-GB"/>
              </w:rPr>
            </w:pPr>
            <w:r w:rsidRPr="00802C75">
              <w:rPr>
                <w:spacing w:val="-6"/>
                <w:sz w:val="16"/>
                <w:szCs w:val="16"/>
                <w:lang w:val="en-GB"/>
              </w:rPr>
              <w:t>Contraindication: pregnancy.</w:t>
            </w:r>
          </w:p>
          <w:p w14:paraId="35BC0FEA" w14:textId="56BC477F" w:rsidR="006D4FB6" w:rsidRPr="00802C75" w:rsidRDefault="006D4FB6" w:rsidP="006D4FB6">
            <w:pPr>
              <w:numPr>
                <w:ilvl w:val="0"/>
                <w:numId w:val="7"/>
              </w:numPr>
              <w:tabs>
                <w:tab w:val="clear" w:pos="2694"/>
                <w:tab w:val="clear" w:pos="2977"/>
              </w:tabs>
              <w:ind w:left="261" w:hanging="261"/>
              <w:jc w:val="left"/>
              <w:rPr>
                <w:sz w:val="16"/>
                <w:szCs w:val="16"/>
                <w:lang w:val="en-GB"/>
              </w:rPr>
            </w:pPr>
            <w:r w:rsidRPr="00802C75">
              <w:rPr>
                <w:sz w:val="16"/>
                <w:szCs w:val="16"/>
                <w:lang w:val="en-GB"/>
              </w:rPr>
              <w:t xml:space="preserve">Dose: IM, 0.5 </w:t>
            </w:r>
            <w:proofErr w:type="spellStart"/>
            <w:r w:rsidRPr="00802C75">
              <w:rPr>
                <w:sz w:val="16"/>
                <w:szCs w:val="16"/>
                <w:lang w:val="en-GB"/>
              </w:rPr>
              <w:t>mL.</w:t>
            </w:r>
            <w:proofErr w:type="spellEnd"/>
          </w:p>
          <w:p w14:paraId="0ABB5F93" w14:textId="7C083F30" w:rsidR="006D4FB6" w:rsidRDefault="006D4FB6" w:rsidP="003A115F">
            <w:pPr>
              <w:ind w:left="261"/>
              <w:jc w:val="left"/>
              <w:rPr>
                <w:sz w:val="16"/>
                <w:szCs w:val="16"/>
                <w:lang w:val="en-GB"/>
              </w:rPr>
            </w:pPr>
            <w:r w:rsidRPr="00802C75">
              <w:rPr>
                <w:sz w:val="16"/>
                <w:szCs w:val="16"/>
                <w:lang w:val="en-GB"/>
              </w:rPr>
              <w:t xml:space="preserve">Booster: </w:t>
            </w:r>
            <w:r w:rsidR="003A115F" w:rsidRPr="00802C75">
              <w:rPr>
                <w:sz w:val="16"/>
                <w:szCs w:val="16"/>
                <w:lang w:val="en-GB"/>
              </w:rPr>
              <w:t xml:space="preserve">after </w:t>
            </w:r>
            <w:r w:rsidRPr="00802C75">
              <w:rPr>
                <w:sz w:val="16"/>
                <w:szCs w:val="16"/>
                <w:lang w:val="en-GB"/>
              </w:rPr>
              <w:t>5 years</w:t>
            </w:r>
            <w:r w:rsidR="003A115F" w:rsidRPr="00802C75">
              <w:rPr>
                <w:sz w:val="16"/>
                <w:szCs w:val="16"/>
                <w:lang w:val="en-GB"/>
              </w:rPr>
              <w:t xml:space="preserve"> and at 65 years of age.</w:t>
            </w:r>
          </w:p>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222"/>
            </w:tblGrid>
            <w:tr w:rsidR="00CD2C6A" w:rsidRPr="00353369" w14:paraId="4174F4BD" w14:textId="30EE292F" w:rsidTr="007B37F8">
              <w:trPr>
                <w:trHeight w:val="107"/>
              </w:trPr>
              <w:tc>
                <w:tcPr>
                  <w:tcW w:w="1222" w:type="dxa"/>
                  <w:shd w:val="clear" w:color="auto" w:fill="auto"/>
                </w:tcPr>
                <w:p w14:paraId="514E3C87" w14:textId="429C61C0" w:rsidR="00CD2C6A" w:rsidRPr="00353369" w:rsidRDefault="00CD2C6A" w:rsidP="00CD2C6A">
                  <w:pPr>
                    <w:jc w:val="right"/>
                    <w:rPr>
                      <w:b/>
                      <w:i/>
                      <w:sz w:val="14"/>
                    </w:rPr>
                  </w:pPr>
                  <w:proofErr w:type="spellStart"/>
                  <w:r w:rsidRPr="00353369">
                    <w:rPr>
                      <w:i/>
                      <w:sz w:val="14"/>
                    </w:rPr>
                    <w:t>LoE:III</w:t>
                  </w:r>
                  <w:r w:rsidR="00690E6D">
                    <w:rPr>
                      <w:i/>
                      <w:sz w:val="14"/>
                    </w:rPr>
                    <w:t>b</w:t>
                  </w:r>
                  <w:proofErr w:type="spellEnd"/>
                  <w:r w:rsidRPr="00353369">
                    <w:rPr>
                      <w:i/>
                      <w:sz w:val="14"/>
                      <w:vertAlign w:val="superscript"/>
                    </w:rPr>
                    <w:endnoteReference w:id="23"/>
                  </w:r>
                </w:p>
              </w:tc>
            </w:tr>
          </w:tbl>
          <w:p w14:paraId="3EDDCD81" w14:textId="77777777" w:rsidR="00CD2C6A" w:rsidRPr="00802C75" w:rsidRDefault="00CD2C6A" w:rsidP="003A115F">
            <w:pPr>
              <w:ind w:left="261"/>
              <w:jc w:val="left"/>
              <w:rPr>
                <w:sz w:val="16"/>
                <w:szCs w:val="16"/>
                <w:lang w:val="en-GB"/>
              </w:rPr>
            </w:pPr>
          </w:p>
        </w:tc>
      </w:tr>
      <w:tr w:rsidR="006D4FB6" w:rsidRPr="00802C75" w14:paraId="29FFD0CB" w14:textId="77777777" w:rsidTr="00120D9F">
        <w:trPr>
          <w:trHeight w:val="199"/>
        </w:trPr>
        <w:tc>
          <w:tcPr>
            <w:tcW w:w="1315" w:type="pct"/>
            <w:tcBorders>
              <w:top w:val="single" w:sz="4" w:space="0" w:color="auto"/>
              <w:bottom w:val="single" w:sz="4" w:space="0" w:color="auto"/>
            </w:tcBorders>
            <w:tcMar>
              <w:left w:w="57" w:type="dxa"/>
              <w:right w:w="57" w:type="dxa"/>
            </w:tcMar>
            <w:vAlign w:val="center"/>
          </w:tcPr>
          <w:p w14:paraId="496B35BF" w14:textId="77777777" w:rsidR="006D4FB6" w:rsidRDefault="006D4FB6" w:rsidP="006D4FB6">
            <w:pPr>
              <w:pStyle w:val="Medicinebullet1"/>
              <w:numPr>
                <w:ilvl w:val="0"/>
                <w:numId w:val="3"/>
              </w:numPr>
              <w:ind w:left="284" w:hanging="284"/>
              <w:rPr>
                <w:rFonts w:cs="Arial"/>
                <w:sz w:val="16"/>
                <w:szCs w:val="16"/>
                <w:lang w:val="en-GB"/>
              </w:rPr>
            </w:pPr>
            <w:r w:rsidRPr="00802C75">
              <w:rPr>
                <w:rFonts w:cs="Arial"/>
                <w:sz w:val="16"/>
                <w:szCs w:val="16"/>
                <w:lang w:val="en-GB"/>
              </w:rPr>
              <w:t>Hepatitis B vaccine*</w:t>
            </w:r>
          </w:p>
          <w:p w14:paraId="30F9C5FE" w14:textId="40172360" w:rsidR="0033323F" w:rsidRPr="00802C75" w:rsidRDefault="0033323F" w:rsidP="0033323F">
            <w:pPr>
              <w:pStyle w:val="Medicinebullet1"/>
              <w:ind w:left="284"/>
              <w:rPr>
                <w:rFonts w:cs="Arial"/>
                <w:sz w:val="16"/>
                <w:szCs w:val="16"/>
                <w:lang w:val="en-GB"/>
              </w:rPr>
            </w:pPr>
            <w:r w:rsidRPr="00160AC4">
              <w:rPr>
                <w:rFonts w:cs="Arial"/>
                <w:sz w:val="14"/>
                <w:szCs w:val="16"/>
                <w:lang w:val="en-GB"/>
              </w:rPr>
              <w:t>Z24.6</w:t>
            </w:r>
          </w:p>
        </w:tc>
        <w:tc>
          <w:tcPr>
            <w:tcW w:w="1920" w:type="pct"/>
            <w:tcBorders>
              <w:top w:val="single" w:sz="4" w:space="0" w:color="auto"/>
              <w:bottom w:val="single" w:sz="4" w:space="0" w:color="auto"/>
            </w:tcBorders>
            <w:tcMar>
              <w:left w:w="57" w:type="dxa"/>
              <w:right w:w="57" w:type="dxa"/>
            </w:tcMar>
            <w:vAlign w:val="center"/>
          </w:tcPr>
          <w:p w14:paraId="792D606F" w14:textId="77777777" w:rsidR="006D4FB6" w:rsidRPr="00802C75" w:rsidRDefault="00B55B85" w:rsidP="006D4FB6">
            <w:pPr>
              <w:pStyle w:val="Textbullet"/>
              <w:ind w:left="215" w:hanging="215"/>
              <w:jc w:val="left"/>
              <w:rPr>
                <w:sz w:val="16"/>
                <w:szCs w:val="16"/>
                <w:lang w:val="en-GB"/>
              </w:rPr>
            </w:pPr>
            <w:r>
              <w:rPr>
                <w:sz w:val="16"/>
                <w:szCs w:val="16"/>
                <w:lang w:val="en-GB"/>
              </w:rPr>
              <w:t>H</w:t>
            </w:r>
            <w:r w:rsidRPr="00802C75">
              <w:rPr>
                <w:sz w:val="16"/>
                <w:szCs w:val="16"/>
                <w:lang w:val="en-GB"/>
              </w:rPr>
              <w:t xml:space="preserve">igh </w:t>
            </w:r>
            <w:r w:rsidR="006D4FB6" w:rsidRPr="00802C75">
              <w:rPr>
                <w:sz w:val="16"/>
                <w:szCs w:val="16"/>
                <w:lang w:val="en-GB"/>
              </w:rPr>
              <w:t xml:space="preserve">risk groups, </w:t>
            </w:r>
            <w:proofErr w:type="gramStart"/>
            <w:r w:rsidR="006D4FB6" w:rsidRPr="00802C75">
              <w:rPr>
                <w:sz w:val="16"/>
                <w:szCs w:val="16"/>
                <w:lang w:val="en-GB"/>
              </w:rPr>
              <w:t>e.g.</w:t>
            </w:r>
            <w:proofErr w:type="gramEnd"/>
            <w:r w:rsidR="006D4FB6" w:rsidRPr="00802C75">
              <w:rPr>
                <w:sz w:val="16"/>
                <w:szCs w:val="16"/>
                <w:lang w:val="en-GB"/>
              </w:rPr>
              <w:t xml:space="preserve"> hospital personnel or sexual contacts of infected patients</w:t>
            </w:r>
            <w:r>
              <w:rPr>
                <w:sz w:val="16"/>
                <w:szCs w:val="16"/>
                <w:lang w:val="en-GB"/>
              </w:rPr>
              <w:t>.</w:t>
            </w:r>
          </w:p>
          <w:p w14:paraId="5CD9873F" w14:textId="77777777" w:rsidR="006D4FB6" w:rsidRPr="00802C75" w:rsidRDefault="00B55B85" w:rsidP="006D4FB6">
            <w:pPr>
              <w:pStyle w:val="Textbullet"/>
              <w:ind w:left="215" w:hanging="215"/>
              <w:jc w:val="left"/>
              <w:rPr>
                <w:sz w:val="16"/>
                <w:szCs w:val="16"/>
                <w:lang w:val="en-GB"/>
              </w:rPr>
            </w:pPr>
            <w:r>
              <w:rPr>
                <w:sz w:val="16"/>
                <w:szCs w:val="16"/>
                <w:lang w:val="en-GB"/>
              </w:rPr>
              <w:t>S</w:t>
            </w:r>
            <w:r w:rsidRPr="00802C75">
              <w:rPr>
                <w:sz w:val="16"/>
                <w:szCs w:val="16"/>
                <w:lang w:val="en-GB"/>
              </w:rPr>
              <w:t xml:space="preserve">exual </w:t>
            </w:r>
            <w:r w:rsidR="006D4FB6" w:rsidRPr="00802C75">
              <w:rPr>
                <w:sz w:val="16"/>
                <w:szCs w:val="16"/>
                <w:lang w:val="en-GB"/>
              </w:rPr>
              <w:t>assault</w:t>
            </w:r>
            <w:r>
              <w:rPr>
                <w:sz w:val="16"/>
                <w:szCs w:val="16"/>
                <w:lang w:val="en-GB"/>
              </w:rPr>
              <w:t>.</w:t>
            </w:r>
          </w:p>
        </w:tc>
        <w:tc>
          <w:tcPr>
            <w:tcW w:w="1765" w:type="pct"/>
            <w:tcBorders>
              <w:top w:val="single" w:sz="4" w:space="0" w:color="auto"/>
              <w:bottom w:val="single" w:sz="4" w:space="0" w:color="auto"/>
            </w:tcBorders>
            <w:tcMar>
              <w:left w:w="57" w:type="dxa"/>
              <w:right w:w="57" w:type="dxa"/>
            </w:tcMar>
            <w:vAlign w:val="center"/>
          </w:tcPr>
          <w:p w14:paraId="20265EB8" w14:textId="77777777" w:rsidR="00E144A2" w:rsidRPr="00E52473" w:rsidRDefault="006D4FB6" w:rsidP="006D4FB6">
            <w:pPr>
              <w:numPr>
                <w:ilvl w:val="0"/>
                <w:numId w:val="7"/>
              </w:numPr>
              <w:tabs>
                <w:tab w:val="clear" w:pos="2694"/>
                <w:tab w:val="clear" w:pos="2977"/>
              </w:tabs>
              <w:ind w:left="261" w:hanging="261"/>
              <w:jc w:val="left"/>
              <w:rPr>
                <w:sz w:val="16"/>
                <w:szCs w:val="16"/>
                <w:lang w:val="en-GB"/>
              </w:rPr>
            </w:pPr>
            <w:r w:rsidRPr="00802C75">
              <w:rPr>
                <w:sz w:val="16"/>
                <w:szCs w:val="16"/>
                <w:lang w:val="en-GB"/>
              </w:rPr>
              <w:t xml:space="preserve">Dose: IM, 1 mL immediately then 1 mL after 1 month and 1 mL </w:t>
            </w:r>
            <w:r w:rsidRPr="00E52473">
              <w:rPr>
                <w:sz w:val="16"/>
                <w:szCs w:val="16"/>
                <w:lang w:val="en-GB"/>
              </w:rPr>
              <w:t xml:space="preserve">6 months after </w:t>
            </w:r>
            <w:r w:rsidR="00E52473">
              <w:rPr>
                <w:sz w:val="16"/>
                <w:szCs w:val="16"/>
                <w:lang w:val="en-GB"/>
              </w:rPr>
              <w:t>1</w:t>
            </w:r>
            <w:r w:rsidR="00E52473" w:rsidRPr="00E52473">
              <w:rPr>
                <w:sz w:val="16"/>
                <w:szCs w:val="16"/>
                <w:vertAlign w:val="superscript"/>
                <w:lang w:val="en-GB"/>
              </w:rPr>
              <w:t>st</w:t>
            </w:r>
            <w:r w:rsidRPr="00E52473">
              <w:rPr>
                <w:sz w:val="16"/>
                <w:szCs w:val="16"/>
                <w:lang w:val="en-GB"/>
              </w:rPr>
              <w:t>dose</w:t>
            </w:r>
            <w:r w:rsidR="00E144A2" w:rsidRPr="00E52473">
              <w:rPr>
                <w:sz w:val="16"/>
                <w:szCs w:val="16"/>
                <w:lang w:val="en-GB"/>
              </w:rPr>
              <w:t>.</w:t>
            </w:r>
          </w:p>
          <w:p w14:paraId="7B0C82B8" w14:textId="4CA4BF57" w:rsidR="00353369" w:rsidRPr="00353369" w:rsidRDefault="00E144A2" w:rsidP="00353369">
            <w:pPr>
              <w:numPr>
                <w:ilvl w:val="0"/>
                <w:numId w:val="7"/>
              </w:numPr>
              <w:tabs>
                <w:tab w:val="clear" w:pos="2694"/>
                <w:tab w:val="clear" w:pos="2977"/>
              </w:tabs>
              <w:ind w:left="261" w:hanging="261"/>
              <w:jc w:val="left"/>
              <w:rPr>
                <w:sz w:val="16"/>
                <w:szCs w:val="16"/>
                <w:lang w:val="en-GB"/>
              </w:rPr>
            </w:pPr>
            <w:r w:rsidRPr="00802C75">
              <w:rPr>
                <w:sz w:val="16"/>
                <w:szCs w:val="16"/>
                <w:lang w:val="en-GB"/>
              </w:rPr>
              <w:t xml:space="preserve">Administer </w:t>
            </w:r>
            <w:r w:rsidR="00FB1712" w:rsidRPr="00802C75">
              <w:rPr>
                <w:sz w:val="16"/>
                <w:szCs w:val="16"/>
                <w:lang w:val="en-GB"/>
              </w:rPr>
              <w:t>deep IM in deltoid muscle</w:t>
            </w:r>
            <w:r w:rsidR="00BA7A1E" w:rsidRPr="00802C75">
              <w:rPr>
                <w:sz w:val="16"/>
                <w:szCs w:val="16"/>
                <w:lang w:val="en-GB"/>
              </w:rPr>
              <w:t>.</w:t>
            </w:r>
          </w:p>
        </w:tc>
      </w:tr>
      <w:tr w:rsidR="006D4FB6" w:rsidRPr="00802C75" w14:paraId="745E0316" w14:textId="77777777" w:rsidTr="00120D9F">
        <w:trPr>
          <w:trHeight w:val="567"/>
        </w:trPr>
        <w:tc>
          <w:tcPr>
            <w:tcW w:w="1315" w:type="pct"/>
            <w:tcBorders>
              <w:top w:val="single" w:sz="4" w:space="0" w:color="auto"/>
              <w:bottom w:val="single" w:sz="4" w:space="0" w:color="auto"/>
            </w:tcBorders>
            <w:tcMar>
              <w:left w:w="57" w:type="dxa"/>
              <w:right w:w="57" w:type="dxa"/>
            </w:tcMar>
            <w:vAlign w:val="center"/>
          </w:tcPr>
          <w:p w14:paraId="55F9D0A4" w14:textId="77777777" w:rsidR="006D4FB6" w:rsidRDefault="006D4FB6" w:rsidP="006D4FB6">
            <w:pPr>
              <w:pStyle w:val="Medicinebullet1"/>
              <w:numPr>
                <w:ilvl w:val="0"/>
                <w:numId w:val="3"/>
              </w:numPr>
              <w:ind w:left="284" w:hanging="284"/>
              <w:rPr>
                <w:rFonts w:cs="Arial"/>
                <w:sz w:val="16"/>
                <w:szCs w:val="16"/>
                <w:lang w:val="en-GB"/>
              </w:rPr>
            </w:pPr>
            <w:r w:rsidRPr="00802C75">
              <w:rPr>
                <w:rFonts w:cs="Arial"/>
                <w:sz w:val="16"/>
                <w:szCs w:val="16"/>
                <w:lang w:val="en-GB"/>
              </w:rPr>
              <w:t>Tetanus toxoid vaccine</w:t>
            </w:r>
          </w:p>
          <w:p w14:paraId="6BC5F5B2" w14:textId="7FF9E78D" w:rsidR="0033323F" w:rsidRPr="00802C75" w:rsidRDefault="0033323F" w:rsidP="0033323F">
            <w:pPr>
              <w:pStyle w:val="Medicinebullet1"/>
              <w:ind w:left="284"/>
              <w:rPr>
                <w:rFonts w:cs="Arial"/>
                <w:sz w:val="16"/>
                <w:szCs w:val="16"/>
                <w:lang w:val="en-GB"/>
              </w:rPr>
            </w:pPr>
            <w:r w:rsidRPr="00160AC4">
              <w:rPr>
                <w:rFonts w:cs="Arial"/>
                <w:sz w:val="14"/>
                <w:szCs w:val="16"/>
                <w:lang w:val="en-GB"/>
              </w:rPr>
              <w:t>Z23.5</w:t>
            </w:r>
          </w:p>
        </w:tc>
        <w:tc>
          <w:tcPr>
            <w:tcW w:w="1920" w:type="pct"/>
            <w:tcBorders>
              <w:top w:val="single" w:sz="4" w:space="0" w:color="auto"/>
            </w:tcBorders>
            <w:tcMar>
              <w:left w:w="57" w:type="dxa"/>
              <w:right w:w="57" w:type="dxa"/>
            </w:tcMar>
            <w:vAlign w:val="center"/>
          </w:tcPr>
          <w:p w14:paraId="6BE0EA38" w14:textId="4DC91CDE" w:rsidR="006D4FB6" w:rsidRPr="00802C75" w:rsidRDefault="006D4FB6" w:rsidP="006D4FB6">
            <w:pPr>
              <w:jc w:val="left"/>
              <w:rPr>
                <w:sz w:val="16"/>
                <w:szCs w:val="16"/>
                <w:lang w:val="en-GB"/>
              </w:rPr>
            </w:pPr>
            <w:r w:rsidRPr="00802C75">
              <w:rPr>
                <w:sz w:val="16"/>
                <w:szCs w:val="16"/>
                <w:lang w:val="en-GB"/>
              </w:rPr>
              <w:t xml:space="preserve">Booster when there is a high risk for tetanus </w:t>
            </w:r>
            <w:proofErr w:type="gramStart"/>
            <w:r w:rsidRPr="00802C75">
              <w:rPr>
                <w:sz w:val="16"/>
                <w:szCs w:val="16"/>
                <w:lang w:val="en-GB"/>
              </w:rPr>
              <w:t>e.g.</w:t>
            </w:r>
            <w:proofErr w:type="gramEnd"/>
            <w:r w:rsidRPr="00802C75">
              <w:rPr>
                <w:sz w:val="16"/>
                <w:szCs w:val="16"/>
                <w:lang w:val="en-GB"/>
              </w:rPr>
              <w:t xml:space="preserve"> contaminated wound or pregnant wom</w:t>
            </w:r>
            <w:r w:rsidR="007E5F02">
              <w:rPr>
                <w:sz w:val="16"/>
                <w:szCs w:val="16"/>
                <w:lang w:val="en-GB"/>
              </w:rPr>
              <w:t>en to prevent neonatal tetanus.</w:t>
            </w:r>
          </w:p>
        </w:tc>
        <w:tc>
          <w:tcPr>
            <w:tcW w:w="1765" w:type="pct"/>
            <w:tcBorders>
              <w:top w:val="single" w:sz="4" w:space="0" w:color="auto"/>
            </w:tcBorders>
            <w:tcMar>
              <w:left w:w="57" w:type="dxa"/>
              <w:right w:w="57" w:type="dxa"/>
            </w:tcMar>
            <w:vAlign w:val="center"/>
          </w:tcPr>
          <w:p w14:paraId="2E8661AD" w14:textId="77777777" w:rsidR="006D4FB6" w:rsidRPr="00802C75" w:rsidRDefault="006D4FB6" w:rsidP="006D4FB6">
            <w:pPr>
              <w:numPr>
                <w:ilvl w:val="0"/>
                <w:numId w:val="7"/>
              </w:numPr>
              <w:tabs>
                <w:tab w:val="clear" w:pos="2694"/>
                <w:tab w:val="clear" w:pos="2977"/>
              </w:tabs>
              <w:ind w:left="261" w:hanging="261"/>
              <w:jc w:val="left"/>
              <w:rPr>
                <w:spacing w:val="-10"/>
                <w:sz w:val="16"/>
                <w:szCs w:val="16"/>
                <w:lang w:val="en-GB"/>
              </w:rPr>
            </w:pPr>
            <w:r w:rsidRPr="00802C75">
              <w:rPr>
                <w:spacing w:val="-10"/>
                <w:sz w:val="16"/>
                <w:szCs w:val="16"/>
                <w:lang w:val="en-GB"/>
              </w:rPr>
              <w:t xml:space="preserve">Dose: IM, 40 </w:t>
            </w:r>
            <w:proofErr w:type="spellStart"/>
            <w:r w:rsidRPr="00802C75">
              <w:rPr>
                <w:spacing w:val="-10"/>
                <w:sz w:val="16"/>
                <w:szCs w:val="16"/>
                <w:lang w:val="en-GB"/>
              </w:rPr>
              <w:t>iu</w:t>
            </w:r>
            <w:proofErr w:type="spellEnd"/>
            <w:r w:rsidRPr="00802C75">
              <w:rPr>
                <w:spacing w:val="-10"/>
                <w:sz w:val="16"/>
                <w:szCs w:val="16"/>
                <w:lang w:val="en-GB"/>
              </w:rPr>
              <w:t xml:space="preserve"> (0.5 mL).</w:t>
            </w:r>
          </w:p>
        </w:tc>
      </w:tr>
    </w:tbl>
    <w:p w14:paraId="55A949A5" w14:textId="08A77E42" w:rsidR="006D4FB6" w:rsidRPr="007B37F8" w:rsidRDefault="006D4FB6" w:rsidP="006D4FB6">
      <w:pPr>
        <w:rPr>
          <w:sz w:val="14"/>
          <w:szCs w:val="14"/>
          <w:lang w:val="en-GB"/>
        </w:rPr>
      </w:pPr>
      <w:r w:rsidRPr="007B37F8">
        <w:rPr>
          <w:sz w:val="14"/>
          <w:szCs w:val="14"/>
          <w:lang w:val="en-GB"/>
        </w:rPr>
        <w:t>* Not to be given to patients who have already been immunised.</w:t>
      </w:r>
    </w:p>
    <w:p w14:paraId="1CA35EE1" w14:textId="714D39EE" w:rsidR="00E70D78" w:rsidRPr="006D4039" w:rsidRDefault="00E70D78" w:rsidP="0052187C">
      <w:pPr>
        <w:tabs>
          <w:tab w:val="clear" w:pos="2694"/>
          <w:tab w:val="clear" w:pos="2977"/>
        </w:tabs>
        <w:autoSpaceDE w:val="0"/>
        <w:autoSpaceDN w:val="0"/>
        <w:adjustRightInd w:val="0"/>
        <w:rPr>
          <w:color w:val="auto"/>
          <w:spacing w:val="-2"/>
          <w:sz w:val="14"/>
          <w:szCs w:val="14"/>
        </w:rPr>
      </w:pPr>
      <w:r w:rsidRPr="006D4039">
        <w:rPr>
          <w:color w:val="auto"/>
          <w:spacing w:val="-2"/>
          <w:sz w:val="14"/>
          <w:szCs w:val="14"/>
        </w:rPr>
        <w:t>**Healthcare workers are not routinely offered</w:t>
      </w:r>
      <w:r w:rsidR="008346A9" w:rsidRPr="006D4039">
        <w:rPr>
          <w:color w:val="auto"/>
          <w:spacing w:val="-2"/>
          <w:sz w:val="14"/>
          <w:szCs w:val="14"/>
        </w:rPr>
        <w:t xml:space="preserve"> immunisation during the annual </w:t>
      </w:r>
      <w:r w:rsidRPr="006D4039">
        <w:rPr>
          <w:color w:val="auto"/>
          <w:spacing w:val="-2"/>
          <w:sz w:val="14"/>
          <w:szCs w:val="14"/>
        </w:rPr>
        <w:t>campaign. Although it is recommended that healthcare workers a</w:t>
      </w:r>
      <w:r w:rsidR="008346A9" w:rsidRPr="006D4039">
        <w:rPr>
          <w:color w:val="auto"/>
          <w:spacing w:val="-2"/>
          <w:sz w:val="14"/>
          <w:szCs w:val="14"/>
        </w:rPr>
        <w:t xml:space="preserve">re vaccinated </w:t>
      </w:r>
      <w:r w:rsidRPr="006D4039">
        <w:rPr>
          <w:color w:val="auto"/>
          <w:spacing w:val="-2"/>
          <w:sz w:val="14"/>
          <w:szCs w:val="14"/>
        </w:rPr>
        <w:t xml:space="preserve">against influenza, they will not be provided </w:t>
      </w:r>
      <w:r w:rsidR="008346A9" w:rsidRPr="006D4039">
        <w:rPr>
          <w:color w:val="auto"/>
          <w:spacing w:val="-2"/>
          <w:sz w:val="14"/>
          <w:szCs w:val="14"/>
        </w:rPr>
        <w:t xml:space="preserve">with publicly funded vaccines </w:t>
      </w:r>
      <w:r w:rsidRPr="006D4039">
        <w:rPr>
          <w:color w:val="auto"/>
          <w:spacing w:val="-2"/>
          <w:sz w:val="14"/>
          <w:szCs w:val="14"/>
        </w:rPr>
        <w:t xml:space="preserve">unless they fall within any of the designated </w:t>
      </w:r>
      <w:r w:rsidR="00C704A5" w:rsidRPr="006D4039">
        <w:rPr>
          <w:color w:val="auto"/>
          <w:spacing w:val="-2"/>
          <w:sz w:val="14"/>
          <w:szCs w:val="14"/>
        </w:rPr>
        <w:t>high-risk</w:t>
      </w:r>
      <w:r w:rsidRPr="006D4039">
        <w:rPr>
          <w:color w:val="auto"/>
          <w:spacing w:val="-2"/>
          <w:sz w:val="14"/>
          <w:szCs w:val="14"/>
        </w:rPr>
        <w:t xml:space="preserve"> groups.</w:t>
      </w:r>
    </w:p>
    <w:p w14:paraId="3E980C28" w14:textId="12CC439E" w:rsidR="00445CB6" w:rsidRPr="006D4039" w:rsidRDefault="006D4039" w:rsidP="006D4FB6">
      <w:pPr>
        <w:rPr>
          <w:b/>
          <w:sz w:val="16"/>
          <w:szCs w:val="16"/>
          <w:lang w:val="en-GB"/>
        </w:rPr>
      </w:pPr>
      <w:r w:rsidRPr="006D4039">
        <w:rPr>
          <w:b/>
          <w:sz w:val="16"/>
          <w:szCs w:val="16"/>
          <w:lang w:val="en-GB"/>
        </w:rPr>
        <w:t>NOTE: Prioritisation strategies may vary in a pandemic.</w:t>
      </w:r>
    </w:p>
    <w:p w14:paraId="7B570053" w14:textId="77777777" w:rsidR="006D4039" w:rsidRPr="00802C75" w:rsidRDefault="006D4039" w:rsidP="006D4FB6">
      <w:pPr>
        <w:rPr>
          <w:sz w:val="16"/>
          <w:szCs w:val="16"/>
          <w:lang w:val="en-GB"/>
        </w:rPr>
      </w:pPr>
    </w:p>
    <w:p w14:paraId="6A173A36" w14:textId="77777777" w:rsidR="006D4FB6" w:rsidRPr="00802C75" w:rsidRDefault="006D4FB6" w:rsidP="006D4FB6">
      <w:pPr>
        <w:pStyle w:val="Heading2"/>
        <w:rPr>
          <w:sz w:val="22"/>
          <w:szCs w:val="22"/>
          <w:lang w:val="en-GB"/>
        </w:rPr>
      </w:pPr>
      <w:r w:rsidRPr="00802C75">
        <w:rPr>
          <w:sz w:val="22"/>
          <w:szCs w:val="22"/>
          <w:lang w:val="en-GB"/>
        </w:rPr>
        <w:t>9.2.1 Rabies vaccination</w:t>
      </w:r>
    </w:p>
    <w:p w14:paraId="18212819" w14:textId="77777777" w:rsidR="0040596D" w:rsidRPr="00234210" w:rsidRDefault="0033323F" w:rsidP="0040596D">
      <w:pPr>
        <w:keepNext/>
        <w:keepLines/>
        <w:rPr>
          <w:b/>
          <w:bCs/>
          <w:spacing w:val="-4"/>
        </w:rPr>
      </w:pPr>
      <w:r>
        <w:rPr>
          <w:rFonts w:cstheme="minorHAnsi"/>
          <w:spacing w:val="-4"/>
          <w:sz w:val="16"/>
          <w:szCs w:val="16"/>
        </w:rPr>
        <w:t>Z24.2</w:t>
      </w:r>
    </w:p>
    <w:p w14:paraId="4B0C11EF" w14:textId="178AF180" w:rsidR="0040596D" w:rsidRPr="00802C75" w:rsidRDefault="0040596D" w:rsidP="0040596D">
      <w:pPr>
        <w:rPr>
          <w:lang w:val="en-GB"/>
        </w:rPr>
      </w:pPr>
      <w:r w:rsidRPr="00802C75">
        <w:rPr>
          <w:lang w:val="en-GB"/>
        </w:rPr>
        <w:t>*</w:t>
      </w:r>
      <w:r w:rsidR="00D317FC">
        <w:rPr>
          <w:lang w:val="en-GB"/>
        </w:rPr>
        <w:t>N</w:t>
      </w:r>
      <w:r w:rsidRPr="00802C75">
        <w:rPr>
          <w:lang w:val="en-GB"/>
        </w:rPr>
        <w:t xml:space="preserve">otifiable </w:t>
      </w:r>
      <w:r>
        <w:rPr>
          <w:lang w:val="en-GB"/>
        </w:rPr>
        <w:t>medical condition.</w:t>
      </w:r>
    </w:p>
    <w:p w14:paraId="2918E946" w14:textId="77777777" w:rsidR="0040596D" w:rsidRPr="008425CB" w:rsidRDefault="0040596D" w:rsidP="00390C26">
      <w:pPr>
        <w:widowControl w:val="0"/>
        <w:rPr>
          <w:iCs/>
          <w:color w:val="00B050"/>
          <w:sz w:val="10"/>
          <w:szCs w:val="16"/>
          <w:lang w:val="en-GB"/>
        </w:rPr>
      </w:pPr>
    </w:p>
    <w:p w14:paraId="3BB9E80A" w14:textId="19E302BB" w:rsidR="006D4FB6" w:rsidRPr="00DA1A86" w:rsidRDefault="0040596D" w:rsidP="008425CB">
      <w:pPr>
        <w:widowControl w:val="0"/>
        <w:rPr>
          <w:iCs/>
          <w:color w:val="auto"/>
          <w:spacing w:val="-2"/>
          <w:szCs w:val="16"/>
          <w:lang w:val="en-GB"/>
        </w:rPr>
      </w:pPr>
      <w:r w:rsidRPr="00DA1A86">
        <w:rPr>
          <w:iCs/>
          <w:color w:val="auto"/>
          <w:spacing w:val="-2"/>
          <w:szCs w:val="16"/>
          <w:lang w:val="en-GB"/>
        </w:rPr>
        <w:t>See the Primary Health Care STG</w:t>
      </w:r>
      <w:r w:rsidR="00EE6A3C" w:rsidRPr="00DA1A86">
        <w:rPr>
          <w:iCs/>
          <w:color w:val="auto"/>
          <w:spacing w:val="-2"/>
          <w:szCs w:val="16"/>
          <w:lang w:val="en-GB"/>
        </w:rPr>
        <w:t>s</w:t>
      </w:r>
      <w:r w:rsidRPr="00DA1A86">
        <w:rPr>
          <w:iCs/>
          <w:color w:val="auto"/>
          <w:spacing w:val="-2"/>
          <w:szCs w:val="16"/>
          <w:lang w:val="en-GB"/>
        </w:rPr>
        <w:t xml:space="preserve"> and EML - </w:t>
      </w:r>
      <w:r w:rsidR="00947F53" w:rsidRPr="00DA1A86">
        <w:rPr>
          <w:iCs/>
          <w:color w:val="auto"/>
          <w:spacing w:val="-2"/>
          <w:szCs w:val="16"/>
          <w:lang w:val="en-GB"/>
        </w:rPr>
        <w:t>Section 21.3.1.1</w:t>
      </w:r>
      <w:r w:rsidRPr="00DA1A86">
        <w:rPr>
          <w:iCs/>
          <w:color w:val="auto"/>
          <w:spacing w:val="-2"/>
          <w:szCs w:val="16"/>
          <w:lang w:val="en-GB"/>
        </w:rPr>
        <w:t>:</w:t>
      </w:r>
      <w:r w:rsidR="00947F53" w:rsidRPr="00DA1A86">
        <w:rPr>
          <w:iCs/>
          <w:color w:val="auto"/>
          <w:spacing w:val="-2"/>
          <w:szCs w:val="16"/>
          <w:lang w:val="en-GB"/>
        </w:rPr>
        <w:t xml:space="preserve"> Animal bites</w:t>
      </w:r>
      <w:r w:rsidRPr="00DA1A86">
        <w:rPr>
          <w:iCs/>
          <w:color w:val="auto"/>
          <w:spacing w:val="-2"/>
          <w:szCs w:val="16"/>
          <w:lang w:val="en-GB"/>
        </w:rPr>
        <w:t>.</w:t>
      </w:r>
    </w:p>
    <w:p w14:paraId="262C0796" w14:textId="62A2F72D" w:rsidR="00787369" w:rsidRPr="005048A2" w:rsidRDefault="00787369" w:rsidP="008425CB">
      <w:pPr>
        <w:widowControl w:val="0"/>
        <w:rPr>
          <w:iCs/>
          <w:color w:val="auto"/>
          <w:sz w:val="16"/>
          <w:szCs w:val="16"/>
          <w:lang w:val="en-GB"/>
        </w:rPr>
      </w:pPr>
    </w:p>
    <w:p w14:paraId="20F16F36" w14:textId="77777777" w:rsidR="00787369" w:rsidRPr="005048A2" w:rsidRDefault="00787369" w:rsidP="008425CB">
      <w:pPr>
        <w:widowControl w:val="0"/>
        <w:rPr>
          <w:sz w:val="16"/>
          <w:lang w:val="en-GB"/>
        </w:rPr>
      </w:pPr>
    </w:p>
    <w:p w14:paraId="660797A7" w14:textId="77777777" w:rsidR="006D4FB6" w:rsidRPr="00802C75" w:rsidRDefault="006D4FB6" w:rsidP="006D4FB6">
      <w:pPr>
        <w:pStyle w:val="Heading1"/>
        <w:rPr>
          <w:rFonts w:cs="Arial"/>
          <w:lang w:val="en-GB"/>
        </w:rPr>
      </w:pPr>
      <w:r w:rsidRPr="00802C75">
        <w:rPr>
          <w:rFonts w:cs="Arial"/>
          <w:lang w:val="en-GB"/>
        </w:rPr>
        <w:t>9.3 BRUCELLOSIS</w:t>
      </w:r>
    </w:p>
    <w:p w14:paraId="4C51E192" w14:textId="77777777" w:rsidR="006D4FB6" w:rsidRPr="00802C75" w:rsidRDefault="006D4FB6" w:rsidP="006D4FB6">
      <w:pPr>
        <w:pStyle w:val="ICD10heading"/>
        <w:rPr>
          <w:lang w:val="en-GB"/>
        </w:rPr>
      </w:pPr>
      <w:r w:rsidRPr="00802C75">
        <w:rPr>
          <w:lang w:val="en-GB"/>
        </w:rPr>
        <w:t>A23.</w:t>
      </w:r>
      <w:r w:rsidR="0033323F">
        <w:rPr>
          <w:lang w:val="en-GB"/>
        </w:rPr>
        <w:t>0-3/A23.8-9</w:t>
      </w:r>
    </w:p>
    <w:p w14:paraId="7C477A33" w14:textId="1B109FEB" w:rsidR="006D4FB6" w:rsidRPr="00802C75" w:rsidRDefault="006D4FB6" w:rsidP="006D4FB6">
      <w:pPr>
        <w:rPr>
          <w:lang w:val="en-GB"/>
        </w:rPr>
      </w:pPr>
      <w:r w:rsidRPr="00802C75">
        <w:rPr>
          <w:lang w:val="en-GB"/>
        </w:rPr>
        <w:t>*</w:t>
      </w:r>
      <w:r w:rsidR="00D317FC">
        <w:rPr>
          <w:lang w:val="en-GB"/>
        </w:rPr>
        <w:t>N</w:t>
      </w:r>
      <w:r w:rsidRPr="00802C75">
        <w:rPr>
          <w:lang w:val="en-GB"/>
        </w:rPr>
        <w:t xml:space="preserve">otifiable </w:t>
      </w:r>
      <w:r w:rsidR="0040596D">
        <w:rPr>
          <w:lang w:val="en-GB"/>
        </w:rPr>
        <w:t>medical condition.</w:t>
      </w:r>
    </w:p>
    <w:p w14:paraId="5D27E066" w14:textId="77777777" w:rsidR="006D4FB6" w:rsidRPr="002059B5" w:rsidRDefault="006D4FB6" w:rsidP="006D4FB6">
      <w:pPr>
        <w:rPr>
          <w:sz w:val="16"/>
          <w:lang w:val="en-GB"/>
        </w:rPr>
      </w:pPr>
    </w:p>
    <w:p w14:paraId="5DD89C38" w14:textId="77777777" w:rsidR="006D4FB6" w:rsidRPr="00802C75" w:rsidRDefault="006D4FB6" w:rsidP="006D4FB6">
      <w:pPr>
        <w:pStyle w:val="Heading3"/>
        <w:rPr>
          <w:lang w:val="en-GB"/>
        </w:rPr>
      </w:pPr>
      <w:r w:rsidRPr="00802C75">
        <w:rPr>
          <w:lang w:val="en-GB"/>
        </w:rPr>
        <w:t>Description</w:t>
      </w:r>
    </w:p>
    <w:p w14:paraId="59EDF126" w14:textId="77777777" w:rsidR="006D4FB6" w:rsidRPr="00802C75" w:rsidRDefault="006D4FB6" w:rsidP="006D4FB6">
      <w:pPr>
        <w:rPr>
          <w:lang w:val="en-GB"/>
        </w:rPr>
      </w:pPr>
      <w:r w:rsidRPr="00802C75">
        <w:rPr>
          <w:lang w:val="en-GB"/>
        </w:rPr>
        <w:t xml:space="preserve">Zoonotic infection, usually due to </w:t>
      </w:r>
      <w:r w:rsidRPr="00802C75">
        <w:rPr>
          <w:i/>
          <w:lang w:val="en-GB"/>
        </w:rPr>
        <w:t>B. abortu</w:t>
      </w:r>
      <w:r w:rsidRPr="00802C75">
        <w:rPr>
          <w:lang w:val="en-GB"/>
        </w:rPr>
        <w:t>s in South Africa. Infection is usually acquired from unpasteurised milk products or handling raw meat.</w:t>
      </w:r>
    </w:p>
    <w:p w14:paraId="53BE2EFC" w14:textId="08D28B48" w:rsidR="009434C3" w:rsidRDefault="009434C3" w:rsidP="00453E32">
      <w:pPr>
        <w:rPr>
          <w:sz w:val="16"/>
          <w:lang w:val="en-GB"/>
        </w:rPr>
      </w:pPr>
    </w:p>
    <w:p w14:paraId="10360E8B" w14:textId="5E33DFFD" w:rsidR="00B81570" w:rsidRDefault="00B81570" w:rsidP="00453E32">
      <w:pPr>
        <w:rPr>
          <w:sz w:val="16"/>
          <w:lang w:val="en-GB"/>
        </w:rPr>
      </w:pPr>
    </w:p>
    <w:p w14:paraId="0724C567" w14:textId="77777777" w:rsidR="00B81570" w:rsidRPr="002059B5" w:rsidRDefault="00B81570" w:rsidP="00453E32">
      <w:pPr>
        <w:rPr>
          <w:sz w:val="16"/>
          <w:lang w:val="en-GB"/>
        </w:rPr>
      </w:pPr>
    </w:p>
    <w:p w14:paraId="4B2B969C" w14:textId="77777777" w:rsidR="006D4FB6" w:rsidRPr="00802C75" w:rsidRDefault="006D4FB6" w:rsidP="00E52473">
      <w:pPr>
        <w:pStyle w:val="Heading3"/>
        <w:keepNext w:val="0"/>
        <w:rPr>
          <w:lang w:val="en-GB"/>
        </w:rPr>
      </w:pPr>
      <w:r w:rsidRPr="00802C75">
        <w:rPr>
          <w:lang w:val="en-GB"/>
        </w:rPr>
        <w:t>Medicine treatment</w:t>
      </w:r>
    </w:p>
    <w:tbl>
      <w:tblPr>
        <w:tblW w:w="5000" w:type="pct"/>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6078"/>
      </w:tblGrid>
      <w:tr w:rsidR="006D4FB6" w:rsidRPr="00802C75" w14:paraId="1749E547" w14:textId="77777777" w:rsidTr="00D170F3">
        <w:tc>
          <w:tcPr>
            <w:tcW w:w="5000" w:type="pct"/>
          </w:tcPr>
          <w:p w14:paraId="623DA960" w14:textId="77777777" w:rsidR="006D4FB6" w:rsidRPr="00332747" w:rsidRDefault="006D4FB6" w:rsidP="006D4FB6">
            <w:pPr>
              <w:rPr>
                <w:sz w:val="6"/>
                <w:szCs w:val="10"/>
                <w:lang w:val="en-GB"/>
              </w:rPr>
            </w:pPr>
          </w:p>
          <w:p w14:paraId="7297A562" w14:textId="77777777" w:rsidR="006D4FB6" w:rsidRPr="00802C75" w:rsidRDefault="006D4FB6" w:rsidP="006D4FB6">
            <w:pPr>
              <w:jc w:val="center"/>
              <w:rPr>
                <w:lang w:val="en-GB"/>
              </w:rPr>
            </w:pPr>
            <w:r w:rsidRPr="00802C75">
              <w:rPr>
                <w:lang w:val="en-GB"/>
              </w:rPr>
              <w:t>Exclude TB before starting therapy.</w:t>
            </w:r>
          </w:p>
          <w:p w14:paraId="3EB094D1" w14:textId="77777777" w:rsidR="006D4FB6" w:rsidRPr="00332747" w:rsidRDefault="006D4FB6" w:rsidP="006D4FB6">
            <w:pPr>
              <w:rPr>
                <w:sz w:val="6"/>
                <w:szCs w:val="10"/>
                <w:lang w:val="en-GB"/>
              </w:rPr>
            </w:pPr>
          </w:p>
        </w:tc>
      </w:tr>
    </w:tbl>
    <w:p w14:paraId="08ED95FC" w14:textId="77777777" w:rsidR="006D4FB6" w:rsidRPr="00DA1A86" w:rsidRDefault="006D4FB6" w:rsidP="006D4FB6">
      <w:pPr>
        <w:rPr>
          <w:sz w:val="2"/>
          <w:szCs w:val="10"/>
          <w:lang w:val="en-GB"/>
        </w:rPr>
      </w:pPr>
    </w:p>
    <w:p w14:paraId="1D9F9913" w14:textId="77777777" w:rsidR="006D4FB6" w:rsidRPr="00802C75" w:rsidRDefault="006D4FB6" w:rsidP="006D4FB6">
      <w:pPr>
        <w:pStyle w:val="Medicinebullet1"/>
        <w:numPr>
          <w:ilvl w:val="0"/>
          <w:numId w:val="3"/>
        </w:numPr>
        <w:rPr>
          <w:rFonts w:cs="Arial"/>
          <w:lang w:val="en-GB"/>
        </w:rPr>
      </w:pPr>
      <w:r w:rsidRPr="00802C75">
        <w:rPr>
          <w:rFonts w:cs="Arial"/>
          <w:lang w:val="en-GB"/>
        </w:rPr>
        <w:t>Doxycycline, oral, 100 mg 12 hourly for 6 weeks.</w:t>
      </w:r>
    </w:p>
    <w:p w14:paraId="0EC02E0B" w14:textId="77777777" w:rsidR="00B55B85" w:rsidRPr="00802C75" w:rsidRDefault="000F7532" w:rsidP="006D4FB6">
      <w:pPr>
        <w:rPr>
          <w:b/>
          <w:lang w:val="en-GB"/>
        </w:rPr>
      </w:pPr>
      <w:r w:rsidRPr="00802C75">
        <w:rPr>
          <w:b/>
          <w:lang w:val="en-GB"/>
        </w:rPr>
        <w:t xml:space="preserve">AND </w:t>
      </w:r>
    </w:p>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
      </w:tblGrid>
      <w:tr w:rsidR="00B55B85" w:rsidRPr="00AE506D" w14:paraId="5C2E468E" w14:textId="77777777" w:rsidTr="00375EC8">
        <w:tc>
          <w:tcPr>
            <w:tcW w:w="1134" w:type="dxa"/>
            <w:shd w:val="clear" w:color="auto" w:fill="auto"/>
          </w:tcPr>
          <w:p w14:paraId="7DB3220D" w14:textId="67FF2787" w:rsidR="00B55B85" w:rsidRPr="00AE506D" w:rsidRDefault="00B55B85" w:rsidP="00375EC8">
            <w:pPr>
              <w:jc w:val="right"/>
              <w:rPr>
                <w:b/>
                <w:i/>
                <w:sz w:val="16"/>
              </w:rPr>
            </w:pPr>
            <w:proofErr w:type="spellStart"/>
            <w:r w:rsidRPr="00AE506D">
              <w:rPr>
                <w:i/>
                <w:sz w:val="16"/>
              </w:rPr>
              <w:t>LoE:I</w:t>
            </w:r>
            <w:r w:rsidR="00690E6D">
              <w:rPr>
                <w:i/>
                <w:sz w:val="16"/>
              </w:rPr>
              <w:t>Vb</w:t>
            </w:r>
            <w:proofErr w:type="spellEnd"/>
            <w:r w:rsidRPr="00AE506D">
              <w:rPr>
                <w:i/>
                <w:sz w:val="16"/>
                <w:vertAlign w:val="superscript"/>
              </w:rPr>
              <w:endnoteReference w:id="24"/>
            </w:r>
          </w:p>
        </w:tc>
      </w:tr>
    </w:tbl>
    <w:p w14:paraId="76559CE9" w14:textId="77777777" w:rsidR="00507AAD" w:rsidRPr="00B55B85" w:rsidRDefault="00507AAD" w:rsidP="006D4FB6">
      <w:pPr>
        <w:rPr>
          <w:sz w:val="2"/>
          <w:lang w:val="en-GB"/>
        </w:rPr>
      </w:pPr>
    </w:p>
    <w:p w14:paraId="4D7182FE" w14:textId="77777777" w:rsidR="006D4FB6" w:rsidRPr="00507AAD" w:rsidRDefault="006D4FB6" w:rsidP="006D4FB6">
      <w:pPr>
        <w:rPr>
          <w:b/>
          <w:sz w:val="2"/>
          <w:lang w:val="en-GB"/>
        </w:rPr>
      </w:pPr>
    </w:p>
    <w:p w14:paraId="16BB16EE" w14:textId="1EA8A1FC" w:rsidR="00507AAD" w:rsidRPr="00802C75" w:rsidRDefault="00F449A9" w:rsidP="00DA1A86">
      <w:pPr>
        <w:pStyle w:val="Medicinebullet1"/>
        <w:numPr>
          <w:ilvl w:val="0"/>
          <w:numId w:val="3"/>
        </w:numPr>
        <w:rPr>
          <w:rFonts w:cs="Arial"/>
          <w:lang w:val="en-GB"/>
        </w:rPr>
      </w:pPr>
      <w:r>
        <w:rPr>
          <w:rFonts w:cs="Arial"/>
          <w:lang w:val="en-GB"/>
        </w:rPr>
        <w:t>Gentamicin</w:t>
      </w:r>
      <w:r w:rsidR="008C05B9">
        <w:rPr>
          <w:rFonts w:cs="Arial"/>
          <w:lang w:val="en-GB"/>
        </w:rPr>
        <w:t>, IV, 6 mg/kg daily for 3 weeks</w:t>
      </w:r>
      <w:r w:rsidR="00DA1A86">
        <w:rPr>
          <w:rFonts w:cs="Arial"/>
          <w:lang w:val="en-GB"/>
        </w:rPr>
        <w:t xml:space="preserve"> </w:t>
      </w:r>
      <w:r w:rsidR="00DA1A86" w:rsidRPr="00DA1A86">
        <w:rPr>
          <w:rFonts w:cs="Arial"/>
          <w:lang w:val="en-GB"/>
        </w:rPr>
        <w:t xml:space="preserve">(see Appendix II for </w:t>
      </w:r>
      <w:r w:rsidR="00927736">
        <w:rPr>
          <w:rFonts w:cs="Arial"/>
          <w:lang w:val="en-GB"/>
        </w:rPr>
        <w:t>guidance on prescribing</w:t>
      </w:r>
      <w:r w:rsidR="00DA1A86" w:rsidRPr="00DA1A86">
        <w:rPr>
          <w:rFonts w:cs="Arial"/>
          <w:lang w:val="en-GB"/>
        </w:rPr>
        <w:t>).</w:t>
      </w:r>
    </w:p>
    <w:p w14:paraId="226B54F8" w14:textId="77777777" w:rsidR="006D4FB6" w:rsidRPr="00507AAD" w:rsidRDefault="006D4FB6" w:rsidP="00507AAD">
      <w:pPr>
        <w:pStyle w:val="Medicinebullet1"/>
        <w:rPr>
          <w:rFonts w:cs="Arial"/>
          <w:sz w:val="2"/>
          <w:lang w:val="en-GB"/>
        </w:rPr>
      </w:pPr>
    </w:p>
    <w:p w14:paraId="0AA783E4" w14:textId="77E248C1" w:rsidR="006D4FB6" w:rsidRDefault="00B55B85" w:rsidP="00B55B85">
      <w:pPr>
        <w:tabs>
          <w:tab w:val="left" w:pos="360"/>
        </w:tabs>
        <w:jc w:val="left"/>
        <w:rPr>
          <w:lang w:val="en-GB"/>
        </w:rPr>
      </w:pPr>
      <w:r>
        <w:rPr>
          <w:lang w:val="en-GB"/>
        </w:rPr>
        <w:tab/>
      </w:r>
      <w:r w:rsidR="0079637D">
        <w:rPr>
          <w:lang w:val="en-GB"/>
        </w:rPr>
        <w:t xml:space="preserve">- </w:t>
      </w:r>
      <w:r w:rsidR="006D4FB6" w:rsidRPr="00802C75">
        <w:rPr>
          <w:lang w:val="en-GB"/>
        </w:rPr>
        <w:t>Preferred regimen for osteo-articular or cardiac involvement.</w:t>
      </w:r>
    </w:p>
    <w:p w14:paraId="577B747B" w14:textId="77777777" w:rsidR="006D4FB6" w:rsidRDefault="006D4FB6" w:rsidP="006D4FB6">
      <w:pPr>
        <w:rPr>
          <w:b/>
          <w:lang w:val="en-GB"/>
        </w:rPr>
      </w:pPr>
      <w:r w:rsidRPr="00802C75">
        <w:rPr>
          <w:b/>
          <w:lang w:val="en-GB"/>
        </w:rPr>
        <w:t>OR</w:t>
      </w:r>
    </w:p>
    <w:p w14:paraId="3630646E" w14:textId="77777777" w:rsidR="008C05B9" w:rsidRPr="00802C75" w:rsidRDefault="008C05B9" w:rsidP="008C05B9">
      <w:pPr>
        <w:pStyle w:val="Medicinebullet1"/>
        <w:numPr>
          <w:ilvl w:val="0"/>
          <w:numId w:val="3"/>
        </w:numPr>
        <w:rPr>
          <w:rFonts w:cs="Arial"/>
          <w:lang w:val="en-GB"/>
        </w:rPr>
      </w:pPr>
      <w:r w:rsidRPr="00802C75">
        <w:rPr>
          <w:rFonts w:cs="Arial"/>
          <w:lang w:val="en-GB"/>
        </w:rPr>
        <w:t>Doxycycline, oral, 100 mg 12 hourly for 6 weeks.</w:t>
      </w:r>
    </w:p>
    <w:p w14:paraId="7989B051" w14:textId="77777777" w:rsidR="008C05B9" w:rsidRPr="00802C75" w:rsidRDefault="008C05B9" w:rsidP="006D4FB6">
      <w:pPr>
        <w:rPr>
          <w:b/>
          <w:lang w:val="en-GB"/>
        </w:rPr>
      </w:pPr>
      <w:r>
        <w:rPr>
          <w:b/>
          <w:lang w:val="en-GB"/>
        </w:rPr>
        <w:t>AND</w:t>
      </w:r>
    </w:p>
    <w:p w14:paraId="323E03E5" w14:textId="77777777" w:rsidR="006D4FB6" w:rsidRPr="00802C75" w:rsidRDefault="006D4FB6" w:rsidP="006D4FB6">
      <w:pPr>
        <w:pStyle w:val="Medicinebullet1"/>
        <w:numPr>
          <w:ilvl w:val="0"/>
          <w:numId w:val="3"/>
        </w:numPr>
        <w:rPr>
          <w:rFonts w:cs="Arial"/>
          <w:lang w:val="en-GB"/>
        </w:rPr>
      </w:pPr>
      <w:r w:rsidRPr="00802C75">
        <w:rPr>
          <w:rFonts w:cs="Arial"/>
          <w:lang w:val="en-GB"/>
        </w:rPr>
        <w:t>Rifampicin, oral, 7.5 mg/kg 12 hourly for 6 weeks.</w:t>
      </w:r>
    </w:p>
    <w:p w14:paraId="10283466" w14:textId="0E4D82F6" w:rsidR="006D4FB6" w:rsidRDefault="006D4FB6" w:rsidP="006D4FB6">
      <w:pPr>
        <w:rPr>
          <w:sz w:val="16"/>
          <w:lang w:val="en-GB"/>
        </w:rPr>
      </w:pPr>
    </w:p>
    <w:p w14:paraId="4EA5C3CD" w14:textId="77777777" w:rsidR="00120D9F" w:rsidRDefault="00120D9F" w:rsidP="006D4FB6">
      <w:pPr>
        <w:rPr>
          <w:sz w:val="16"/>
          <w:lang w:val="en-GB"/>
        </w:rPr>
      </w:pPr>
    </w:p>
    <w:p w14:paraId="4419050E" w14:textId="11568F81" w:rsidR="008425CB" w:rsidRPr="00E15F05" w:rsidRDefault="008425CB" w:rsidP="00353369">
      <w:pPr>
        <w:pStyle w:val="Heading1"/>
        <w:tabs>
          <w:tab w:val="left" w:pos="426"/>
        </w:tabs>
        <w:ind w:left="420" w:hanging="420"/>
        <w:jc w:val="both"/>
        <w:rPr>
          <w:rFonts w:cs="Arial"/>
          <w:color w:val="D9D9D9" w:themeColor="background1" w:themeShade="D9"/>
          <w:lang w:val="en-GB"/>
        </w:rPr>
      </w:pPr>
      <w:r w:rsidRPr="0042584C">
        <w:rPr>
          <w:rFonts w:cs="Arial"/>
          <w:color w:val="D9D9D9" w:themeColor="background1" w:themeShade="D9"/>
          <w:lang w:val="en-GB"/>
        </w:rPr>
        <w:t>9</w:t>
      </w:r>
      <w:r w:rsidRPr="00E15F05">
        <w:rPr>
          <w:rFonts w:cs="Arial"/>
          <w:color w:val="D9D9D9" w:themeColor="background1" w:themeShade="D9"/>
          <w:lang w:val="en-GB"/>
        </w:rPr>
        <w:t xml:space="preserve">.4 </w:t>
      </w:r>
      <w:r w:rsidR="00353369" w:rsidRPr="00E15F05">
        <w:rPr>
          <w:rFonts w:cs="Arial"/>
          <w:color w:val="D9D9D9" w:themeColor="background1" w:themeShade="D9"/>
          <w:lang w:val="en-GB"/>
        </w:rPr>
        <w:tab/>
      </w:r>
      <w:r w:rsidR="00A658E6" w:rsidRPr="00E15F05">
        <w:rPr>
          <w:rFonts w:ascii="Arial Bold" w:hAnsi="Arial Bold" w:cs="Arial"/>
          <w:color w:val="D9D9D9" w:themeColor="background1" w:themeShade="D9"/>
          <w:spacing w:val="-6"/>
          <w:lang w:val="en-GB"/>
        </w:rPr>
        <w:t>E</w:t>
      </w:r>
      <w:r w:rsidR="00B73C44" w:rsidRPr="00E15F05">
        <w:rPr>
          <w:rFonts w:ascii="Arial Bold" w:hAnsi="Arial Bold" w:cs="Arial"/>
          <w:color w:val="D9D9D9" w:themeColor="background1" w:themeShade="D9"/>
          <w:spacing w:val="-6"/>
          <w:lang w:val="en-GB"/>
        </w:rPr>
        <w:t>MERGING respiratory Pathogens</w:t>
      </w:r>
      <w:r w:rsidR="00A658E6" w:rsidRPr="00E15F05">
        <w:rPr>
          <w:rFonts w:ascii="Arial Bold" w:hAnsi="Arial Bold" w:cs="Arial"/>
          <w:color w:val="D9D9D9" w:themeColor="background1" w:themeShade="D9"/>
          <w:spacing w:val="-6"/>
          <w:lang w:val="en-GB"/>
        </w:rPr>
        <w:t xml:space="preserve">, </w:t>
      </w:r>
      <w:proofErr w:type="gramStart"/>
      <w:r w:rsidR="00A658E6" w:rsidRPr="00E15F05">
        <w:rPr>
          <w:rFonts w:ascii="Arial Bold" w:hAnsi="Arial Bold" w:cs="Arial"/>
          <w:caps w:val="0"/>
          <w:color w:val="D9D9D9" w:themeColor="background1" w:themeShade="D9"/>
          <w:spacing w:val="-6"/>
          <w:lang w:val="en-GB"/>
        </w:rPr>
        <w:t>e.g</w:t>
      </w:r>
      <w:r w:rsidR="00A658E6" w:rsidRPr="00E15F05">
        <w:rPr>
          <w:rFonts w:ascii="Arial Bold" w:hAnsi="Arial Bold" w:cs="Arial"/>
          <w:color w:val="D9D9D9" w:themeColor="background1" w:themeShade="D9"/>
          <w:spacing w:val="-6"/>
          <w:lang w:val="en-GB"/>
        </w:rPr>
        <w:t>.</w:t>
      </w:r>
      <w:proofErr w:type="gramEnd"/>
      <w:r w:rsidR="00353369" w:rsidRPr="00E15F05">
        <w:rPr>
          <w:rFonts w:ascii="Arial Bold" w:hAnsi="Arial Bold" w:cs="Arial"/>
          <w:color w:val="D9D9D9" w:themeColor="background1" w:themeShade="D9"/>
          <w:spacing w:val="-6"/>
          <w:lang w:val="en-GB"/>
        </w:rPr>
        <w:t xml:space="preserve"> </w:t>
      </w:r>
      <w:r w:rsidR="00D90CE5" w:rsidRPr="00E15F05">
        <w:rPr>
          <w:rFonts w:ascii="Arial Bold" w:hAnsi="Arial Bold" w:cs="Arial"/>
          <w:color w:val="D9D9D9" w:themeColor="background1" w:themeShade="D9"/>
          <w:spacing w:val="-6"/>
          <w:lang w:val="en-GB"/>
        </w:rPr>
        <w:t xml:space="preserve">COVID-19: CORONAVIRUS DISEASE-19; </w:t>
      </w:r>
      <w:r w:rsidR="00A658E6" w:rsidRPr="00E15F05">
        <w:rPr>
          <w:rFonts w:ascii="Arial Bold" w:hAnsi="Arial Bold" w:cs="Arial"/>
          <w:color w:val="D9D9D9" w:themeColor="background1" w:themeShade="D9"/>
          <w:spacing w:val="-6"/>
          <w:lang w:val="en-GB"/>
        </w:rPr>
        <w:t xml:space="preserve">Middle East ResPiratory Syndrome </w:t>
      </w:r>
      <w:r w:rsidRPr="00E15F05">
        <w:rPr>
          <w:rFonts w:ascii="Arial Bold" w:hAnsi="Arial Bold" w:cs="Arial"/>
          <w:color w:val="D9D9D9" w:themeColor="background1" w:themeShade="D9"/>
          <w:spacing w:val="-6"/>
          <w:lang w:val="en-GB"/>
        </w:rPr>
        <w:t>CoronaVirus infection</w:t>
      </w:r>
      <w:r w:rsidR="00D90CE5" w:rsidRPr="00E15F05">
        <w:rPr>
          <w:rFonts w:ascii="Arial Bold" w:hAnsi="Arial Bold" w:cs="Arial"/>
          <w:color w:val="D9D9D9" w:themeColor="background1" w:themeShade="D9"/>
          <w:spacing w:val="-6"/>
          <w:lang w:val="en-GB"/>
        </w:rPr>
        <w:t xml:space="preserve">: </w:t>
      </w:r>
      <w:r w:rsidRPr="00E15F05">
        <w:rPr>
          <w:rFonts w:ascii="Arial Bold" w:hAnsi="Arial Bold" w:cs="Arial"/>
          <w:color w:val="D9D9D9" w:themeColor="background1" w:themeShade="D9"/>
          <w:spacing w:val="-6"/>
          <w:lang w:val="en-GB"/>
        </w:rPr>
        <w:t xml:space="preserve"> Mers Co</w:t>
      </w:r>
      <w:r w:rsidR="00A658E6" w:rsidRPr="00E15F05">
        <w:rPr>
          <w:rFonts w:ascii="Arial Bold" w:hAnsi="Arial Bold" w:cs="Arial"/>
          <w:color w:val="D9D9D9" w:themeColor="background1" w:themeShade="D9"/>
          <w:spacing w:val="-6"/>
          <w:lang w:val="en-GB"/>
        </w:rPr>
        <w:t>V</w:t>
      </w:r>
    </w:p>
    <w:p w14:paraId="0EE3C0EE" w14:textId="44A4D250" w:rsidR="008425CB" w:rsidRPr="00E15F05" w:rsidRDefault="008425CB" w:rsidP="008425CB">
      <w:pPr>
        <w:rPr>
          <w:color w:val="D9D9D9" w:themeColor="background1" w:themeShade="D9"/>
          <w:sz w:val="16"/>
          <w:szCs w:val="16"/>
        </w:rPr>
      </w:pPr>
      <w:r w:rsidRPr="00E15F05">
        <w:rPr>
          <w:color w:val="D9D9D9" w:themeColor="background1" w:themeShade="D9"/>
          <w:sz w:val="16"/>
          <w:szCs w:val="16"/>
        </w:rPr>
        <w:t>B34.2</w:t>
      </w:r>
      <w:r w:rsidR="00CA7F07" w:rsidRPr="00E15F05">
        <w:rPr>
          <w:color w:val="D9D9D9" w:themeColor="background1" w:themeShade="D9"/>
          <w:sz w:val="16"/>
          <w:szCs w:val="16"/>
        </w:rPr>
        <w:t>/U07.1</w:t>
      </w:r>
    </w:p>
    <w:p w14:paraId="526D31F1" w14:textId="3A8F1A5B" w:rsidR="008425CB" w:rsidRPr="00E15F05" w:rsidRDefault="008425CB" w:rsidP="008425CB">
      <w:pPr>
        <w:rPr>
          <w:color w:val="D9D9D9" w:themeColor="background1" w:themeShade="D9"/>
          <w:sz w:val="16"/>
          <w:szCs w:val="16"/>
        </w:rPr>
      </w:pPr>
      <w:r w:rsidRPr="00E15F05">
        <w:rPr>
          <w:color w:val="D9D9D9" w:themeColor="background1" w:themeShade="D9"/>
          <w:sz w:val="16"/>
          <w:szCs w:val="16"/>
        </w:rPr>
        <w:t>*</w:t>
      </w:r>
      <w:r w:rsidR="007F7C88" w:rsidRPr="00E15F05">
        <w:rPr>
          <w:color w:val="D9D9D9" w:themeColor="background1" w:themeShade="D9"/>
          <w:spacing w:val="2"/>
          <w:szCs w:val="16"/>
        </w:rPr>
        <w:t>N</w:t>
      </w:r>
      <w:r w:rsidRPr="00E15F05">
        <w:rPr>
          <w:color w:val="D9D9D9" w:themeColor="background1" w:themeShade="D9"/>
          <w:spacing w:val="2"/>
          <w:szCs w:val="16"/>
        </w:rPr>
        <w:t>otifiable medical condition.</w:t>
      </w:r>
    </w:p>
    <w:p w14:paraId="4221CF54" w14:textId="77777777" w:rsidR="008425CB" w:rsidRPr="00E15F05" w:rsidRDefault="008425CB" w:rsidP="008425CB">
      <w:pPr>
        <w:rPr>
          <w:color w:val="D9D9D9" w:themeColor="background1" w:themeShade="D9"/>
          <w:sz w:val="10"/>
          <w:szCs w:val="16"/>
        </w:rPr>
      </w:pPr>
    </w:p>
    <w:p w14:paraId="261BAF1F" w14:textId="13468F80" w:rsidR="008425CB" w:rsidRPr="00E15F05" w:rsidRDefault="008425CB" w:rsidP="007E5F02">
      <w:pPr>
        <w:widowControl w:val="0"/>
        <w:rPr>
          <w:color w:val="D9D9D9" w:themeColor="background1" w:themeShade="D9"/>
          <w:spacing w:val="-6"/>
        </w:rPr>
      </w:pPr>
      <w:r w:rsidRPr="00E15F05">
        <w:rPr>
          <w:b/>
          <w:color w:val="D9D9D9" w:themeColor="background1" w:themeShade="D9"/>
          <w:spacing w:val="-6"/>
        </w:rPr>
        <w:t>Note:</w:t>
      </w:r>
      <w:r w:rsidRPr="00E15F05">
        <w:rPr>
          <w:color w:val="D9D9D9" w:themeColor="background1" w:themeShade="D9"/>
          <w:spacing w:val="-6"/>
        </w:rPr>
        <w:t xml:space="preserve"> Consult most recent guidelines from National Department of Health</w:t>
      </w:r>
      <w:r w:rsidR="00D90CE5" w:rsidRPr="00E15F05">
        <w:rPr>
          <w:color w:val="D9D9D9" w:themeColor="background1" w:themeShade="D9"/>
          <w:spacing w:val="-6"/>
        </w:rPr>
        <w:t>/</w:t>
      </w:r>
      <w:r w:rsidRPr="00E15F05">
        <w:rPr>
          <w:color w:val="D9D9D9" w:themeColor="background1" w:themeShade="D9"/>
          <w:spacing w:val="-6"/>
        </w:rPr>
        <w:t xml:space="preserve"> NICD.</w:t>
      </w:r>
    </w:p>
    <w:p w14:paraId="7235EF28" w14:textId="77777777" w:rsidR="008425CB" w:rsidRPr="00E15F05" w:rsidRDefault="008425CB" w:rsidP="008425CB">
      <w:pPr>
        <w:rPr>
          <w:b/>
          <w:color w:val="D9D9D9" w:themeColor="background1" w:themeShade="D9"/>
          <w:sz w:val="20"/>
        </w:rPr>
      </w:pPr>
      <w:r w:rsidRPr="00E15F05">
        <w:rPr>
          <w:b/>
          <w:color w:val="D9D9D9" w:themeColor="background1" w:themeShade="D9"/>
          <w:sz w:val="20"/>
        </w:rPr>
        <w:t>DESCRIPTION</w:t>
      </w:r>
    </w:p>
    <w:p w14:paraId="1A24B437" w14:textId="7C0B7476" w:rsidR="008425CB" w:rsidRPr="00E15F05" w:rsidRDefault="00A658E6" w:rsidP="00A658E6">
      <w:pPr>
        <w:rPr>
          <w:color w:val="D9D9D9" w:themeColor="background1" w:themeShade="D9"/>
        </w:rPr>
      </w:pPr>
      <w:r w:rsidRPr="00E15F05">
        <w:rPr>
          <w:color w:val="D9D9D9" w:themeColor="background1" w:themeShade="D9"/>
        </w:rPr>
        <w:t>Middle East Respiratory Syndrome (MERS) is a viral respiratory illness</w:t>
      </w:r>
      <w:r w:rsidR="00226362" w:rsidRPr="00E15F05">
        <w:rPr>
          <w:color w:val="D9D9D9" w:themeColor="background1" w:themeShade="D9"/>
        </w:rPr>
        <w:t xml:space="preserve"> caused by </w:t>
      </w:r>
      <w:r w:rsidRPr="00E15F05">
        <w:rPr>
          <w:color w:val="D9D9D9" w:themeColor="background1" w:themeShade="D9"/>
        </w:rPr>
        <w:t xml:space="preserve"> Middle East Respiratory Syndrome Coronavirus (MERS-</w:t>
      </w:r>
      <w:proofErr w:type="spellStart"/>
      <w:r w:rsidRPr="00E15F05">
        <w:rPr>
          <w:color w:val="D9D9D9" w:themeColor="background1" w:themeShade="D9"/>
        </w:rPr>
        <w:t>CoV</w:t>
      </w:r>
      <w:proofErr w:type="spellEnd"/>
      <w:r w:rsidRPr="00E15F05">
        <w:rPr>
          <w:color w:val="D9D9D9" w:themeColor="background1" w:themeShade="D9"/>
        </w:rPr>
        <w:t>). Individuals with</w:t>
      </w:r>
      <w:r w:rsidRPr="00E15F05">
        <w:rPr>
          <w:color w:val="D9D9D9" w:themeColor="background1" w:themeShade="D9"/>
          <w:sz w:val="24"/>
          <w:szCs w:val="24"/>
        </w:rPr>
        <w:t xml:space="preserve"> </w:t>
      </w:r>
      <w:r w:rsidRPr="00E15F05">
        <w:rPr>
          <w:color w:val="D9D9D9" w:themeColor="background1" w:themeShade="D9"/>
        </w:rPr>
        <w:t>MERS-</w:t>
      </w:r>
      <w:proofErr w:type="spellStart"/>
      <w:r w:rsidRPr="00E15F05">
        <w:rPr>
          <w:color w:val="D9D9D9" w:themeColor="background1" w:themeShade="D9"/>
        </w:rPr>
        <w:t>CoV</w:t>
      </w:r>
      <w:proofErr w:type="spellEnd"/>
      <w:r w:rsidRPr="00E15F05">
        <w:rPr>
          <w:color w:val="D9D9D9" w:themeColor="background1" w:themeShade="D9"/>
        </w:rPr>
        <w:t xml:space="preserve">  present with a wide spectrum of clinical presentation ranging from asymptomatic infection to acute upper respiratory illness, and rapidly progressing lower respiratory illness; respiratory failure, septic shock and multi-organ failure resulting in death</w:t>
      </w:r>
      <w:r w:rsidR="00E419DA" w:rsidRPr="00E15F05">
        <w:rPr>
          <w:color w:val="D9D9D9" w:themeColor="background1" w:themeShade="D9"/>
        </w:rPr>
        <w:t>.</w:t>
      </w:r>
    </w:p>
    <w:p w14:paraId="0D225E00" w14:textId="659B1045" w:rsidR="008425CB" w:rsidRPr="00E15F05" w:rsidRDefault="00A658E6" w:rsidP="008425CB">
      <w:pPr>
        <w:rPr>
          <w:color w:val="D9D9D9" w:themeColor="background1" w:themeShade="D9"/>
        </w:rPr>
      </w:pPr>
      <w:r w:rsidRPr="00E15F05">
        <w:rPr>
          <w:color w:val="D9D9D9" w:themeColor="background1" w:themeShade="D9"/>
        </w:rPr>
        <w:t>A typical presentation</w:t>
      </w:r>
      <w:r w:rsidRPr="00E15F05">
        <w:rPr>
          <w:strike/>
          <w:color w:val="D9D9D9" w:themeColor="background1" w:themeShade="D9"/>
        </w:rPr>
        <w:t xml:space="preserve"> </w:t>
      </w:r>
      <w:r w:rsidRPr="00E15F05">
        <w:rPr>
          <w:color w:val="D9D9D9" w:themeColor="background1" w:themeShade="D9"/>
        </w:rPr>
        <w:t>of MERS</w:t>
      </w:r>
      <w:r w:rsidRPr="00E15F05">
        <w:rPr>
          <w:strike/>
          <w:color w:val="D9D9D9" w:themeColor="background1" w:themeShade="D9"/>
        </w:rPr>
        <w:t xml:space="preserve"> </w:t>
      </w:r>
      <w:r w:rsidRPr="00E15F05">
        <w:rPr>
          <w:color w:val="D9D9D9" w:themeColor="background1" w:themeShade="D9"/>
        </w:rPr>
        <w:t xml:space="preserve"> includes:</w:t>
      </w:r>
    </w:p>
    <w:p w14:paraId="31A74D00" w14:textId="77777777" w:rsidR="00A658E6" w:rsidRPr="00E15F05" w:rsidRDefault="008425CB" w:rsidP="002059B5">
      <w:pPr>
        <w:pStyle w:val="Textbullet"/>
        <w:widowControl w:val="0"/>
        <w:ind w:left="284" w:hanging="284"/>
        <w:rPr>
          <w:color w:val="D9D9D9" w:themeColor="background1" w:themeShade="D9"/>
          <w:lang w:val="en-GB"/>
        </w:rPr>
      </w:pPr>
      <w:r w:rsidRPr="00E15F05">
        <w:rPr>
          <w:color w:val="D9D9D9" w:themeColor="background1" w:themeShade="D9"/>
          <w:lang w:val="en-GB"/>
        </w:rPr>
        <w:t>fever (&gt;38°C), chills or rigors, cough, shortness of breath</w:t>
      </w:r>
    </w:p>
    <w:p w14:paraId="7074A114" w14:textId="77777777" w:rsidR="00226362" w:rsidRPr="00E15F05" w:rsidRDefault="00226362" w:rsidP="00EB12BC">
      <w:pPr>
        <w:pStyle w:val="Textbullet"/>
        <w:widowControl w:val="0"/>
        <w:numPr>
          <w:ilvl w:val="0"/>
          <w:numId w:val="0"/>
        </w:numPr>
        <w:rPr>
          <w:color w:val="D9D9D9" w:themeColor="background1" w:themeShade="D9"/>
          <w:sz w:val="6"/>
          <w:lang w:val="en-GB"/>
        </w:rPr>
      </w:pPr>
    </w:p>
    <w:p w14:paraId="7A7CEC6E" w14:textId="00C0D053" w:rsidR="008425CB" w:rsidRPr="00E15F05" w:rsidRDefault="00A658E6" w:rsidP="00EB12BC">
      <w:pPr>
        <w:pStyle w:val="Textbullet"/>
        <w:widowControl w:val="0"/>
        <w:numPr>
          <w:ilvl w:val="0"/>
          <w:numId w:val="0"/>
        </w:numPr>
        <w:rPr>
          <w:color w:val="D9D9D9" w:themeColor="background1" w:themeShade="D9"/>
          <w:lang w:val="en-GB"/>
        </w:rPr>
      </w:pPr>
      <w:r w:rsidRPr="00E15F05">
        <w:rPr>
          <w:color w:val="D9D9D9" w:themeColor="background1" w:themeShade="D9"/>
          <w:lang w:val="en-GB"/>
        </w:rPr>
        <w:t>Presentation may include:</w:t>
      </w:r>
    </w:p>
    <w:p w14:paraId="4E070613" w14:textId="517A3D8D" w:rsidR="008425CB" w:rsidRPr="00E15F05" w:rsidRDefault="008425CB" w:rsidP="002059B5">
      <w:pPr>
        <w:pStyle w:val="Textbullet"/>
        <w:widowControl w:val="0"/>
        <w:ind w:left="284" w:hanging="284"/>
        <w:rPr>
          <w:color w:val="D9D9D9" w:themeColor="background1" w:themeShade="D9"/>
          <w:lang w:val="en-GB"/>
        </w:rPr>
      </w:pPr>
      <w:proofErr w:type="spellStart"/>
      <w:r w:rsidRPr="00E15F05">
        <w:rPr>
          <w:color w:val="D9D9D9" w:themeColor="background1" w:themeShade="D9"/>
          <w:lang w:val="en-GB"/>
        </w:rPr>
        <w:t>hemoptysis</w:t>
      </w:r>
      <w:proofErr w:type="spellEnd"/>
      <w:r w:rsidRPr="00E15F05">
        <w:rPr>
          <w:color w:val="D9D9D9" w:themeColor="background1" w:themeShade="D9"/>
          <w:lang w:val="en-GB"/>
        </w:rPr>
        <w:t>, sore throat, myalgias,</w:t>
      </w:r>
      <w:r w:rsidR="0079637D" w:rsidRPr="00E15F05">
        <w:rPr>
          <w:color w:val="D9D9D9" w:themeColor="background1" w:themeShade="D9"/>
          <w:lang w:val="en-GB"/>
        </w:rPr>
        <w:t xml:space="preserve"> </w:t>
      </w:r>
      <w:r w:rsidRPr="00E15F05">
        <w:rPr>
          <w:color w:val="D9D9D9" w:themeColor="background1" w:themeShade="D9"/>
          <w:lang w:val="en-GB"/>
        </w:rPr>
        <w:t>diarrhoea, vomiting, abdominal pain</w:t>
      </w:r>
    </w:p>
    <w:p w14:paraId="4FBAF2C7" w14:textId="77777777" w:rsidR="00787369" w:rsidRPr="00E15F05" w:rsidRDefault="00787369" w:rsidP="008425CB">
      <w:pPr>
        <w:pStyle w:val="Textbullet"/>
        <w:widowControl w:val="0"/>
        <w:numPr>
          <w:ilvl w:val="0"/>
          <w:numId w:val="0"/>
        </w:numPr>
        <w:rPr>
          <w:color w:val="D9D9D9" w:themeColor="background1" w:themeShade="D9"/>
          <w:sz w:val="6"/>
        </w:rPr>
      </w:pPr>
    </w:p>
    <w:p w14:paraId="333D338C" w14:textId="23856686" w:rsidR="008425CB" w:rsidRPr="00E15F05" w:rsidRDefault="008425CB" w:rsidP="008425CB">
      <w:pPr>
        <w:pStyle w:val="Textbullet"/>
        <w:widowControl w:val="0"/>
        <w:numPr>
          <w:ilvl w:val="0"/>
          <w:numId w:val="0"/>
        </w:numPr>
        <w:rPr>
          <w:color w:val="D9D9D9" w:themeColor="background1" w:themeShade="D9"/>
        </w:rPr>
      </w:pPr>
      <w:r w:rsidRPr="00E15F05">
        <w:rPr>
          <w:color w:val="D9D9D9" w:themeColor="background1" w:themeShade="D9"/>
        </w:rPr>
        <w:t xml:space="preserve">Complications: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9"/>
        <w:gridCol w:w="3065"/>
      </w:tblGrid>
      <w:tr w:rsidR="008425CB" w:rsidRPr="00E15F05" w14:paraId="19753CC2" w14:textId="77777777" w:rsidTr="00A468AA">
        <w:tc>
          <w:tcPr>
            <w:tcW w:w="3170" w:type="dxa"/>
          </w:tcPr>
          <w:p w14:paraId="4DEF528E" w14:textId="77777777" w:rsidR="008425CB" w:rsidRPr="00E15F05" w:rsidRDefault="008425CB" w:rsidP="00A468AA">
            <w:pPr>
              <w:pStyle w:val="Textbullet"/>
              <w:widowControl w:val="0"/>
              <w:rPr>
                <w:color w:val="D9D9D9" w:themeColor="background1" w:themeShade="D9"/>
              </w:rPr>
            </w:pPr>
            <w:r w:rsidRPr="00E15F05">
              <w:rPr>
                <w:color w:val="D9D9D9" w:themeColor="background1" w:themeShade="D9"/>
              </w:rPr>
              <w:t>severe pneumonia</w:t>
            </w:r>
          </w:p>
        </w:tc>
        <w:tc>
          <w:tcPr>
            <w:tcW w:w="3170" w:type="dxa"/>
          </w:tcPr>
          <w:p w14:paraId="713F0379" w14:textId="77777777" w:rsidR="008425CB" w:rsidRPr="00E15F05" w:rsidRDefault="008425CB" w:rsidP="00A468AA">
            <w:pPr>
              <w:pStyle w:val="Textbullet"/>
              <w:widowControl w:val="0"/>
              <w:rPr>
                <w:color w:val="D9D9D9" w:themeColor="background1" w:themeShade="D9"/>
              </w:rPr>
            </w:pPr>
            <w:r w:rsidRPr="00E15F05">
              <w:rPr>
                <w:color w:val="D9D9D9" w:themeColor="background1" w:themeShade="D9"/>
              </w:rPr>
              <w:t>acute renal failure</w:t>
            </w:r>
          </w:p>
        </w:tc>
      </w:tr>
      <w:tr w:rsidR="008425CB" w:rsidRPr="00E15F05" w14:paraId="7F7FD505" w14:textId="77777777" w:rsidTr="00A468AA">
        <w:tc>
          <w:tcPr>
            <w:tcW w:w="3170" w:type="dxa"/>
          </w:tcPr>
          <w:p w14:paraId="41A8A56F" w14:textId="77777777" w:rsidR="008425CB" w:rsidRPr="00E15F05" w:rsidRDefault="008425CB" w:rsidP="00A468AA">
            <w:pPr>
              <w:pStyle w:val="Textbullet"/>
              <w:widowControl w:val="0"/>
              <w:rPr>
                <w:color w:val="D9D9D9" w:themeColor="background1" w:themeShade="D9"/>
              </w:rPr>
            </w:pPr>
            <w:r w:rsidRPr="00E15F05">
              <w:rPr>
                <w:color w:val="D9D9D9" w:themeColor="background1" w:themeShade="D9"/>
              </w:rPr>
              <w:t>ARDS</w:t>
            </w:r>
          </w:p>
        </w:tc>
        <w:tc>
          <w:tcPr>
            <w:tcW w:w="3170" w:type="dxa"/>
          </w:tcPr>
          <w:p w14:paraId="7DDF6DAF" w14:textId="69CDB514" w:rsidR="008425CB" w:rsidRPr="00E15F05" w:rsidRDefault="00226362" w:rsidP="00226362">
            <w:pPr>
              <w:pStyle w:val="Textbullet"/>
              <w:widowControl w:val="0"/>
              <w:rPr>
                <w:color w:val="D9D9D9" w:themeColor="background1" w:themeShade="D9"/>
              </w:rPr>
            </w:pPr>
            <w:r w:rsidRPr="00E15F05">
              <w:rPr>
                <w:color w:val="D9D9D9" w:themeColor="background1" w:themeShade="D9"/>
              </w:rPr>
              <w:t>r</w:t>
            </w:r>
            <w:r w:rsidR="0056017A" w:rsidRPr="00E15F05">
              <w:rPr>
                <w:color w:val="D9D9D9" w:themeColor="background1" w:themeShade="D9"/>
              </w:rPr>
              <w:t>efractory hypoxaemia</w:t>
            </w:r>
          </w:p>
        </w:tc>
      </w:tr>
    </w:tbl>
    <w:p w14:paraId="661C2A28" w14:textId="77777777" w:rsidR="008425CB" w:rsidRPr="00E15F05" w:rsidRDefault="008425CB" w:rsidP="008425CB">
      <w:pPr>
        <w:pStyle w:val="Textbullet"/>
        <w:widowControl w:val="0"/>
        <w:numPr>
          <w:ilvl w:val="0"/>
          <w:numId w:val="0"/>
        </w:numPr>
        <w:rPr>
          <w:color w:val="D9D9D9" w:themeColor="background1" w:themeShade="D9"/>
        </w:rPr>
      </w:pPr>
    </w:p>
    <w:p w14:paraId="618A3EC9" w14:textId="77777777" w:rsidR="008425CB" w:rsidRPr="00E15F05" w:rsidRDefault="008425CB" w:rsidP="008425CB">
      <w:pPr>
        <w:rPr>
          <w:b/>
          <w:color w:val="D9D9D9" w:themeColor="background1" w:themeShade="D9"/>
          <w:sz w:val="20"/>
        </w:rPr>
      </w:pPr>
      <w:r w:rsidRPr="00E15F05">
        <w:rPr>
          <w:b/>
          <w:color w:val="D9D9D9" w:themeColor="background1" w:themeShade="D9"/>
          <w:sz w:val="20"/>
        </w:rPr>
        <w:t>GENERAL MEASURES</w:t>
      </w:r>
    </w:p>
    <w:p w14:paraId="0F978156" w14:textId="4C307EED" w:rsidR="008425CB" w:rsidRPr="00E15F05" w:rsidRDefault="008425CB" w:rsidP="008425CB">
      <w:pPr>
        <w:rPr>
          <w:color w:val="D9D9D9" w:themeColor="background1" w:themeShade="D9"/>
        </w:rPr>
      </w:pPr>
      <w:r w:rsidRPr="00E15F05">
        <w:rPr>
          <w:color w:val="D9D9D9" w:themeColor="background1" w:themeShade="D9"/>
        </w:rPr>
        <w:t>All suspected, probable cases and contacts must be discussed and managed in consultation with the regional virologist or infectious diseases specialist at the referral centre.</w:t>
      </w:r>
    </w:p>
    <w:p w14:paraId="7B8233D1" w14:textId="77777777" w:rsidR="00DF5BDE" w:rsidRPr="00E15F05" w:rsidRDefault="00DF5BDE" w:rsidP="008425CB">
      <w:pPr>
        <w:rPr>
          <w:color w:val="D9D9D9" w:themeColor="background1" w:themeShade="D9"/>
          <w:sz w:val="10"/>
        </w:rPr>
      </w:pPr>
    </w:p>
    <w:p w14:paraId="42496B53" w14:textId="38DA946D" w:rsidR="008425CB" w:rsidRPr="00E15F05" w:rsidRDefault="008425CB" w:rsidP="008425CB">
      <w:pPr>
        <w:rPr>
          <w:color w:val="D9D9D9" w:themeColor="background1" w:themeShade="D9"/>
        </w:rPr>
      </w:pPr>
      <w:r w:rsidRPr="00E15F05">
        <w:rPr>
          <w:color w:val="D9D9D9" w:themeColor="background1" w:themeShade="D9"/>
        </w:rPr>
        <w:t xml:space="preserve">In addition cases should be discussed with the </w:t>
      </w:r>
      <w:r w:rsidR="0056017A" w:rsidRPr="00E15F05">
        <w:rPr>
          <w:color w:val="D9D9D9" w:themeColor="background1" w:themeShade="D9"/>
        </w:rPr>
        <w:t>Centre  for Respiratory Diseases</w:t>
      </w:r>
      <w:r w:rsidRPr="00E15F05">
        <w:rPr>
          <w:color w:val="D9D9D9" w:themeColor="background1" w:themeShade="D9"/>
        </w:rPr>
        <w:t xml:space="preserve"> of the </w:t>
      </w:r>
      <w:r w:rsidR="0056017A" w:rsidRPr="00E15F05">
        <w:rPr>
          <w:color w:val="D9D9D9" w:themeColor="background1" w:themeShade="D9"/>
        </w:rPr>
        <w:t>N</w:t>
      </w:r>
      <w:r w:rsidRPr="00E15F05">
        <w:rPr>
          <w:color w:val="D9D9D9" w:themeColor="background1" w:themeShade="D9"/>
        </w:rPr>
        <w:t xml:space="preserve">ational </w:t>
      </w:r>
      <w:r w:rsidR="0056017A" w:rsidRPr="00E15F05">
        <w:rPr>
          <w:color w:val="D9D9D9" w:themeColor="background1" w:themeShade="D9"/>
        </w:rPr>
        <w:t>I</w:t>
      </w:r>
      <w:r w:rsidRPr="00E15F05">
        <w:rPr>
          <w:color w:val="D9D9D9" w:themeColor="background1" w:themeShade="D9"/>
        </w:rPr>
        <w:t xml:space="preserve">nstitute for </w:t>
      </w:r>
      <w:r w:rsidR="0056017A" w:rsidRPr="00E15F05">
        <w:rPr>
          <w:color w:val="D9D9D9" w:themeColor="background1" w:themeShade="D9"/>
        </w:rPr>
        <w:t>C</w:t>
      </w:r>
      <w:r w:rsidRPr="00E15F05">
        <w:rPr>
          <w:color w:val="D9D9D9" w:themeColor="background1" w:themeShade="D9"/>
        </w:rPr>
        <w:t xml:space="preserve">ommunicable </w:t>
      </w:r>
      <w:r w:rsidR="0056017A" w:rsidRPr="00E15F05">
        <w:rPr>
          <w:color w:val="D9D9D9" w:themeColor="background1" w:themeShade="D9"/>
        </w:rPr>
        <w:t>D</w:t>
      </w:r>
      <w:r w:rsidRPr="00E15F05">
        <w:rPr>
          <w:color w:val="D9D9D9" w:themeColor="background1" w:themeShade="D9"/>
        </w:rPr>
        <w:t>iseases (NICD).</w:t>
      </w:r>
    </w:p>
    <w:p w14:paraId="15A73A01" w14:textId="2A86B651" w:rsidR="008425CB" w:rsidRPr="00E15F05" w:rsidRDefault="008425CB" w:rsidP="008425CB">
      <w:pPr>
        <w:jc w:val="center"/>
        <w:rPr>
          <w:b/>
          <w:color w:val="D9D9D9" w:themeColor="background1" w:themeShade="D9"/>
        </w:rPr>
      </w:pPr>
      <w:r w:rsidRPr="00E15F05">
        <w:rPr>
          <w:b/>
          <w:color w:val="D9D9D9" w:themeColor="background1" w:themeShade="D9"/>
        </w:rPr>
        <w:lastRenderedPageBreak/>
        <w:t>Tel: 011 386 6</w:t>
      </w:r>
      <w:r w:rsidR="0056017A" w:rsidRPr="00E15F05">
        <w:rPr>
          <w:b/>
          <w:color w:val="D9D9D9" w:themeColor="background1" w:themeShade="D9"/>
        </w:rPr>
        <w:t>392/ 011 3866390</w:t>
      </w:r>
      <w:r w:rsidR="0056017A" w:rsidRPr="00E15F05">
        <w:rPr>
          <w:rFonts w:asciiTheme="minorHAnsi" w:hAnsiTheme="minorHAnsi"/>
          <w:b/>
          <w:color w:val="D9D9D9" w:themeColor="background1" w:themeShade="D9"/>
        </w:rPr>
        <w:t xml:space="preserve"> </w:t>
      </w:r>
      <w:r w:rsidRPr="00E15F05">
        <w:rPr>
          <w:b/>
          <w:color w:val="D9D9D9" w:themeColor="background1" w:themeShade="D9"/>
        </w:rPr>
        <w:t>, Outbreak hotline: 082 883 9920</w:t>
      </w:r>
    </w:p>
    <w:tbl>
      <w:tblPr>
        <w:tblStyle w:val="TableGrid"/>
        <w:tblW w:w="0" w:type="auto"/>
        <w:tblLook w:val="04A0" w:firstRow="1" w:lastRow="0" w:firstColumn="1" w:lastColumn="0" w:noHBand="0" w:noVBand="1"/>
      </w:tblPr>
      <w:tblGrid>
        <w:gridCol w:w="6114"/>
      </w:tblGrid>
      <w:tr w:rsidR="00D90CE5" w:rsidRPr="00E15F05" w14:paraId="41FEFF8A" w14:textId="77777777" w:rsidTr="00D90CE5">
        <w:tc>
          <w:tcPr>
            <w:tcW w:w="6340" w:type="dxa"/>
          </w:tcPr>
          <w:p w14:paraId="7B68116F" w14:textId="77777777" w:rsidR="00D90CE5" w:rsidRPr="00E15F05" w:rsidRDefault="00D90CE5" w:rsidP="00A246BD">
            <w:pPr>
              <w:jc w:val="center"/>
              <w:rPr>
                <w:b/>
                <w:color w:val="D9D9D9" w:themeColor="background1" w:themeShade="D9"/>
              </w:rPr>
            </w:pPr>
            <w:r w:rsidRPr="00E15F05">
              <w:rPr>
                <w:b/>
                <w:color w:val="D9D9D9" w:themeColor="background1" w:themeShade="D9"/>
              </w:rPr>
              <w:t>COVID-19 HOTLINE NUMBERS</w:t>
            </w:r>
          </w:p>
          <w:p w14:paraId="59593299" w14:textId="1634E6AD" w:rsidR="00D90CE5" w:rsidRPr="00E15F05" w:rsidRDefault="00D90CE5" w:rsidP="00A246BD">
            <w:pPr>
              <w:jc w:val="center"/>
              <w:rPr>
                <w:b/>
                <w:color w:val="D9D9D9" w:themeColor="background1" w:themeShade="D9"/>
              </w:rPr>
            </w:pPr>
            <w:r w:rsidRPr="00E15F05">
              <w:rPr>
                <w:b/>
                <w:color w:val="D9D9D9" w:themeColor="background1" w:themeShade="D9"/>
              </w:rPr>
              <w:t>Clinicians:</w:t>
            </w:r>
            <w:r w:rsidR="00A246BD" w:rsidRPr="00E15F05">
              <w:rPr>
                <w:b/>
                <w:color w:val="D9D9D9" w:themeColor="background1" w:themeShade="D9"/>
              </w:rPr>
              <w:t xml:space="preserve"> 080011131</w:t>
            </w:r>
          </w:p>
          <w:p w14:paraId="37F6E0B4" w14:textId="77777777" w:rsidR="00D90CE5" w:rsidRPr="00E15F05" w:rsidRDefault="00D90CE5" w:rsidP="00A246BD">
            <w:pPr>
              <w:jc w:val="center"/>
              <w:rPr>
                <w:b/>
                <w:color w:val="D9D9D9" w:themeColor="background1" w:themeShade="D9"/>
              </w:rPr>
            </w:pPr>
            <w:r w:rsidRPr="00E15F05">
              <w:rPr>
                <w:b/>
                <w:color w:val="D9D9D9" w:themeColor="background1" w:themeShade="D9"/>
              </w:rPr>
              <w:t xml:space="preserve">Public: </w:t>
            </w:r>
            <w:r w:rsidR="00A246BD" w:rsidRPr="00E15F05">
              <w:rPr>
                <w:b/>
                <w:color w:val="D9D9D9" w:themeColor="background1" w:themeShade="D9"/>
              </w:rPr>
              <w:t>080002999</w:t>
            </w:r>
          </w:p>
          <w:p w14:paraId="1E807B18" w14:textId="20DEBBE8" w:rsidR="00A246BD" w:rsidRPr="00E15F05" w:rsidRDefault="00000000" w:rsidP="00A246BD">
            <w:pPr>
              <w:jc w:val="center"/>
              <w:rPr>
                <w:b/>
                <w:color w:val="D9D9D9" w:themeColor="background1" w:themeShade="D9"/>
              </w:rPr>
            </w:pPr>
            <w:hyperlink r:id="rId9" w:history="1">
              <w:r w:rsidR="00A246BD" w:rsidRPr="00E15F05">
                <w:rPr>
                  <w:rStyle w:val="Hyperlink"/>
                  <w:b/>
                  <w:color w:val="D9D9D9" w:themeColor="background1" w:themeShade="D9"/>
                </w:rPr>
                <w:t>http://www.nicd.ac.za/</w:t>
              </w:r>
            </w:hyperlink>
            <w:r w:rsidR="00A246BD" w:rsidRPr="00E15F05">
              <w:rPr>
                <w:b/>
                <w:color w:val="D9D9D9" w:themeColor="background1" w:themeShade="D9"/>
              </w:rPr>
              <w:t xml:space="preserve"> ; </w:t>
            </w:r>
            <w:r w:rsidR="00A246BD" w:rsidRPr="00E15F05">
              <w:rPr>
                <w:color w:val="D9D9D9" w:themeColor="background1" w:themeShade="D9"/>
              </w:rPr>
              <w:t xml:space="preserve"> </w:t>
            </w:r>
            <w:hyperlink r:id="rId10" w:history="1">
              <w:r w:rsidR="00A246BD" w:rsidRPr="00E15F05">
                <w:rPr>
                  <w:rStyle w:val="Hyperlink"/>
                  <w:b/>
                  <w:color w:val="D9D9D9" w:themeColor="background1" w:themeShade="D9"/>
                </w:rPr>
                <w:t>https://sacoronavirus.co.za/</w:t>
              </w:r>
            </w:hyperlink>
            <w:r w:rsidR="00A246BD" w:rsidRPr="00E15F05">
              <w:rPr>
                <w:b/>
                <w:color w:val="D9D9D9" w:themeColor="background1" w:themeShade="D9"/>
              </w:rPr>
              <w:t xml:space="preserve"> </w:t>
            </w:r>
          </w:p>
        </w:tc>
      </w:tr>
    </w:tbl>
    <w:p w14:paraId="07ED15B6" w14:textId="77777777" w:rsidR="00DF5BDE" w:rsidRPr="00E15F05" w:rsidRDefault="00DF5BDE" w:rsidP="008425CB">
      <w:pPr>
        <w:rPr>
          <w:color w:val="D9D9D9" w:themeColor="background1" w:themeShade="D9"/>
          <w:sz w:val="10"/>
        </w:rPr>
      </w:pPr>
    </w:p>
    <w:p w14:paraId="4B68EC97" w14:textId="1F07C3BE" w:rsidR="008425CB" w:rsidRPr="00E15F05" w:rsidRDefault="008425CB" w:rsidP="008425CB">
      <w:pPr>
        <w:rPr>
          <w:color w:val="D9D9D9" w:themeColor="background1" w:themeShade="D9"/>
        </w:rPr>
      </w:pPr>
      <w:r w:rsidRPr="00E15F05">
        <w:rPr>
          <w:color w:val="D9D9D9" w:themeColor="background1" w:themeShade="D9"/>
        </w:rPr>
        <w:t>Transfer of patients will only occur once all relevant arrangements have been made to limit further exposure to a potential contagious and life threatening agent.</w:t>
      </w:r>
    </w:p>
    <w:p w14:paraId="5F6C186F" w14:textId="68135359" w:rsidR="00226362" w:rsidRPr="00E15F05" w:rsidRDefault="0056017A" w:rsidP="008425CB">
      <w:pPr>
        <w:rPr>
          <w:color w:val="D9D9D9" w:themeColor="background1" w:themeShade="D9"/>
          <w:sz w:val="6"/>
        </w:rPr>
      </w:pPr>
      <w:r w:rsidRPr="00E15F05">
        <w:rPr>
          <w:color w:val="D9D9D9" w:themeColor="background1" w:themeShade="D9"/>
        </w:rPr>
        <w:t xml:space="preserve"> </w:t>
      </w:r>
    </w:p>
    <w:p w14:paraId="69998E71" w14:textId="19FA39BC" w:rsidR="00226362" w:rsidRPr="00E15F05" w:rsidRDefault="0056017A" w:rsidP="00226362">
      <w:pPr>
        <w:rPr>
          <w:color w:val="D9D9D9" w:themeColor="background1" w:themeShade="D9"/>
        </w:rPr>
      </w:pPr>
      <w:r w:rsidRPr="00E15F05">
        <w:rPr>
          <w:color w:val="D9D9D9" w:themeColor="background1" w:themeShade="D9"/>
        </w:rPr>
        <w:t>Droplet precautions should be added to the standard precautions</w:t>
      </w:r>
      <w:r w:rsidR="00226362" w:rsidRPr="00E15F05">
        <w:rPr>
          <w:color w:val="D9D9D9" w:themeColor="background1" w:themeShade="D9"/>
        </w:rPr>
        <w:t>.</w:t>
      </w:r>
      <w:r w:rsidR="00DF5BDE" w:rsidRPr="00E15F05">
        <w:rPr>
          <w:color w:val="D9D9D9" w:themeColor="background1" w:themeShade="D9"/>
        </w:rPr>
        <w:t xml:space="preserve"> </w:t>
      </w:r>
      <w:r w:rsidR="00226362" w:rsidRPr="00E15F05">
        <w:rPr>
          <w:color w:val="D9D9D9" w:themeColor="background1" w:themeShade="D9"/>
        </w:rPr>
        <w:t>Airborne precautions should be applied when performing aerosol-generating procedures.</w:t>
      </w:r>
    </w:p>
    <w:p w14:paraId="787C9696" w14:textId="77777777" w:rsidR="008425CB" w:rsidRPr="00E15F05" w:rsidRDefault="008425CB" w:rsidP="008425CB">
      <w:pPr>
        <w:rPr>
          <w:color w:val="D9D9D9" w:themeColor="background1" w:themeShade="D9"/>
          <w:sz w:val="10"/>
        </w:rPr>
      </w:pPr>
    </w:p>
    <w:p w14:paraId="5EA9F0D3" w14:textId="77777777" w:rsidR="008425CB" w:rsidRPr="00E15F05" w:rsidRDefault="008425CB" w:rsidP="008425CB">
      <w:pPr>
        <w:jc w:val="left"/>
        <w:rPr>
          <w:b/>
          <w:color w:val="D9D9D9" w:themeColor="background1" w:themeShade="D9"/>
        </w:rPr>
      </w:pPr>
      <w:r w:rsidRPr="00E15F05">
        <w:rPr>
          <w:b/>
          <w:color w:val="D9D9D9" w:themeColor="background1" w:themeShade="D9"/>
        </w:rPr>
        <w:t>ISOLATE SUSPECTED SYMPTOMATIC CASES AT ALL TIMES.</w:t>
      </w:r>
    </w:p>
    <w:p w14:paraId="3888C411" w14:textId="31AE9A51" w:rsidR="008425CB" w:rsidRPr="00E15F05" w:rsidRDefault="008425CB" w:rsidP="008425CB">
      <w:pPr>
        <w:rPr>
          <w:color w:val="D9D9D9" w:themeColor="background1" w:themeShade="D9"/>
        </w:rPr>
      </w:pPr>
      <w:r w:rsidRPr="00E15F05">
        <w:rPr>
          <w:color w:val="D9D9D9" w:themeColor="background1" w:themeShade="D9"/>
        </w:rPr>
        <w:t xml:space="preserve">If </w:t>
      </w:r>
      <w:r w:rsidR="00D635DF" w:rsidRPr="00E15F05">
        <w:rPr>
          <w:color w:val="D9D9D9" w:themeColor="background1" w:themeShade="D9"/>
        </w:rPr>
        <w:t xml:space="preserve">MERS </w:t>
      </w:r>
      <w:r w:rsidRPr="00E15F05">
        <w:rPr>
          <w:color w:val="D9D9D9" w:themeColor="background1" w:themeShade="D9"/>
        </w:rPr>
        <w:t xml:space="preserve">coronavirus is suspected, isolate patient to limit further exposure. </w:t>
      </w:r>
    </w:p>
    <w:p w14:paraId="71D68BDA" w14:textId="77777777" w:rsidR="008425CB" w:rsidRPr="00E15F05" w:rsidRDefault="008425CB" w:rsidP="008425CB">
      <w:pPr>
        <w:rPr>
          <w:color w:val="D9D9D9" w:themeColor="background1" w:themeShade="D9"/>
          <w:sz w:val="16"/>
        </w:rPr>
      </w:pPr>
    </w:p>
    <w:p w14:paraId="4EC01591" w14:textId="77777777" w:rsidR="008425CB" w:rsidRPr="00E15F05" w:rsidRDefault="008425CB" w:rsidP="008425CB">
      <w:pPr>
        <w:rPr>
          <w:b/>
          <w:color w:val="D9D9D9" w:themeColor="background1" w:themeShade="D9"/>
          <w:sz w:val="20"/>
        </w:rPr>
      </w:pPr>
      <w:r w:rsidRPr="00E15F05">
        <w:rPr>
          <w:b/>
          <w:color w:val="D9D9D9" w:themeColor="background1" w:themeShade="D9"/>
          <w:sz w:val="20"/>
        </w:rPr>
        <w:t>MANAGEMENT</w:t>
      </w:r>
    </w:p>
    <w:p w14:paraId="311048F9" w14:textId="797ACDB5" w:rsidR="00120D9F" w:rsidRPr="00E15F05" w:rsidRDefault="008425CB" w:rsidP="008425CB">
      <w:pPr>
        <w:rPr>
          <w:b/>
          <w:color w:val="D9D9D9" w:themeColor="background1" w:themeShade="D9"/>
        </w:rPr>
      </w:pPr>
      <w:r w:rsidRPr="00E15F05">
        <w:rPr>
          <w:b/>
          <w:color w:val="D9D9D9" w:themeColor="background1" w:themeShade="D9"/>
        </w:rPr>
        <w:t xml:space="preserve">Treatment </w:t>
      </w:r>
    </w:p>
    <w:p w14:paraId="3A0840C1" w14:textId="5ED0049B" w:rsidR="008425CB" w:rsidRPr="00E15F05" w:rsidRDefault="00120D9F" w:rsidP="008425CB">
      <w:pPr>
        <w:rPr>
          <w:color w:val="D9D9D9" w:themeColor="background1" w:themeShade="D9"/>
        </w:rPr>
      </w:pPr>
      <w:r w:rsidRPr="00E15F05">
        <w:rPr>
          <w:color w:val="D9D9D9" w:themeColor="background1" w:themeShade="D9"/>
        </w:rPr>
        <w:t xml:space="preserve">Treatment </w:t>
      </w:r>
      <w:r w:rsidR="008425CB" w:rsidRPr="00E15F05">
        <w:rPr>
          <w:color w:val="D9D9D9" w:themeColor="background1" w:themeShade="D9"/>
        </w:rPr>
        <w:t xml:space="preserve">is supportive. </w:t>
      </w:r>
    </w:p>
    <w:p w14:paraId="69A90739" w14:textId="7F69C85A" w:rsidR="008425CB" w:rsidRPr="00E15F05" w:rsidRDefault="008425CB" w:rsidP="008425CB">
      <w:pPr>
        <w:rPr>
          <w:color w:val="D9D9D9" w:themeColor="background1" w:themeShade="D9"/>
        </w:rPr>
      </w:pPr>
      <w:r w:rsidRPr="00E15F05">
        <w:rPr>
          <w:color w:val="D9D9D9" w:themeColor="background1" w:themeShade="D9"/>
        </w:rPr>
        <w:t>No antiviral agents</w:t>
      </w:r>
      <w:r w:rsidR="00D635DF" w:rsidRPr="00E15F05">
        <w:rPr>
          <w:color w:val="D9D9D9" w:themeColor="background1" w:themeShade="D9"/>
        </w:rPr>
        <w:t xml:space="preserve"> or vaccines</w:t>
      </w:r>
      <w:r w:rsidRPr="00E15F05">
        <w:rPr>
          <w:color w:val="D9D9D9" w:themeColor="background1" w:themeShade="D9"/>
        </w:rPr>
        <w:t xml:space="preserve"> are</w:t>
      </w:r>
      <w:r w:rsidR="00D635DF" w:rsidRPr="00E15F05">
        <w:rPr>
          <w:color w:val="D9D9D9" w:themeColor="background1" w:themeShade="D9"/>
        </w:rPr>
        <w:t xml:space="preserve"> currently available</w:t>
      </w:r>
      <w:r w:rsidR="00DF5BDE" w:rsidRPr="00E15F05">
        <w:rPr>
          <w:color w:val="D9D9D9" w:themeColor="background1" w:themeShade="D9"/>
        </w:rPr>
        <w:t>.</w:t>
      </w:r>
    </w:p>
    <w:p w14:paraId="1487111E" w14:textId="77777777" w:rsidR="008425CB" w:rsidRPr="00E15F05" w:rsidRDefault="008425CB" w:rsidP="008425CB">
      <w:pPr>
        <w:rPr>
          <w:color w:val="D9D9D9" w:themeColor="background1" w:themeShade="D9"/>
        </w:rPr>
      </w:pPr>
      <w:r w:rsidRPr="00E15F05">
        <w:rPr>
          <w:color w:val="D9D9D9" w:themeColor="background1" w:themeShade="D9"/>
        </w:rPr>
        <w:t>Management of contact: consult with NICD and isolate contact.</w:t>
      </w:r>
    </w:p>
    <w:p w14:paraId="1CA86599" w14:textId="2F1C330B" w:rsidR="008425CB" w:rsidRPr="00E15F05" w:rsidRDefault="008425CB" w:rsidP="008425CB">
      <w:pPr>
        <w:rPr>
          <w:color w:val="D9D9D9" w:themeColor="background1" w:themeShade="D9"/>
        </w:rPr>
      </w:pPr>
      <w:r w:rsidRPr="00E15F05">
        <w:rPr>
          <w:color w:val="D9D9D9" w:themeColor="background1" w:themeShade="D9"/>
        </w:rPr>
        <w:t>Record and follow-up all patient contacts.</w:t>
      </w:r>
    </w:p>
    <w:p w14:paraId="67DEE68A" w14:textId="450FF2CD" w:rsidR="00DF5BDE" w:rsidRPr="00E15F05" w:rsidRDefault="00DF5BDE" w:rsidP="008425CB">
      <w:pPr>
        <w:rPr>
          <w:color w:val="D9D9D9" w:themeColor="background1" w:themeShade="D9"/>
          <w:sz w:val="10"/>
        </w:rPr>
      </w:pPr>
    </w:p>
    <w:p w14:paraId="6DE5A42C" w14:textId="7732A2B2" w:rsidR="008425CB" w:rsidRPr="00E15F05" w:rsidRDefault="008425CB" w:rsidP="008425CB">
      <w:pPr>
        <w:rPr>
          <w:b/>
          <w:color w:val="D9D9D9" w:themeColor="background1" w:themeShade="D9"/>
        </w:rPr>
      </w:pPr>
      <w:r w:rsidRPr="00E15F05">
        <w:rPr>
          <w:b/>
          <w:color w:val="D9D9D9" w:themeColor="background1" w:themeShade="D9"/>
        </w:rPr>
        <w:t>Prevention</w:t>
      </w:r>
    </w:p>
    <w:p w14:paraId="1DD8194F" w14:textId="4148D27F" w:rsidR="008425CB" w:rsidRPr="00E15F05" w:rsidRDefault="008425CB" w:rsidP="005048A2">
      <w:pPr>
        <w:widowControl w:val="0"/>
        <w:rPr>
          <w:rStyle w:val="nowrap"/>
          <w:color w:val="D9D9D9" w:themeColor="background1" w:themeShade="D9"/>
        </w:rPr>
      </w:pPr>
      <w:r w:rsidRPr="00E15F05">
        <w:rPr>
          <w:color w:val="D9D9D9" w:themeColor="background1" w:themeShade="D9"/>
        </w:rPr>
        <w:t>Handwashing and the careful disposal of materials infected with nasal secretions. A</w:t>
      </w:r>
      <w:r w:rsidRPr="00E15F05">
        <w:rPr>
          <w:rStyle w:val="nowrap"/>
          <w:color w:val="D9D9D9" w:themeColor="background1" w:themeShade="D9"/>
        </w:rPr>
        <w:t>ntiseptic/disinfectant</w:t>
      </w:r>
      <w:r w:rsidRPr="00E15F05">
        <w:rPr>
          <w:color w:val="D9D9D9" w:themeColor="background1" w:themeShade="D9"/>
        </w:rPr>
        <w:t xml:space="preserve"> </w:t>
      </w:r>
      <w:proofErr w:type="spellStart"/>
      <w:r w:rsidRPr="00E15F05">
        <w:rPr>
          <w:color w:val="D9D9D9" w:themeColor="background1" w:themeShade="D9"/>
        </w:rPr>
        <w:t>solutions:choroxylenol</w:t>
      </w:r>
      <w:proofErr w:type="spellEnd"/>
      <w:r w:rsidRPr="00E15F05">
        <w:rPr>
          <w:color w:val="D9D9D9" w:themeColor="background1" w:themeShade="D9"/>
        </w:rPr>
        <w:t xml:space="preserve">, benzalkonium chloride, and </w:t>
      </w:r>
      <w:r w:rsidRPr="00E15F05">
        <w:rPr>
          <w:rStyle w:val="nowrap"/>
          <w:color w:val="D9D9D9" w:themeColor="background1" w:themeShade="D9"/>
        </w:rPr>
        <w:t>cetrimide. Chlorhexidine has been shown to be ineffective.</w:t>
      </w:r>
    </w:p>
    <w:p w14:paraId="21C0321F" w14:textId="77777777" w:rsidR="007D5614" w:rsidRPr="00E15F05" w:rsidRDefault="007D5614" w:rsidP="005048A2">
      <w:pPr>
        <w:widowControl w:val="0"/>
        <w:rPr>
          <w:rStyle w:val="nowrap"/>
          <w:color w:val="D9D9D9" w:themeColor="background1" w:themeShade="D9"/>
          <w:sz w:val="16"/>
        </w:rPr>
      </w:pPr>
    </w:p>
    <w:p w14:paraId="3B20EA69" w14:textId="77777777" w:rsidR="008425CB" w:rsidRPr="00E15F05" w:rsidRDefault="008425CB" w:rsidP="008425CB">
      <w:pPr>
        <w:rPr>
          <w:rStyle w:val="nowrap"/>
          <w:b/>
          <w:color w:val="D9D9D9" w:themeColor="background1" w:themeShade="D9"/>
          <w:sz w:val="20"/>
        </w:rPr>
      </w:pPr>
      <w:r w:rsidRPr="00E15F05">
        <w:rPr>
          <w:rStyle w:val="nowrap"/>
          <w:b/>
          <w:color w:val="D9D9D9" w:themeColor="background1" w:themeShade="D9"/>
          <w:sz w:val="20"/>
        </w:rPr>
        <w:t>REFERRAL</w:t>
      </w:r>
    </w:p>
    <w:p w14:paraId="78CDA1DF" w14:textId="77777777" w:rsidR="008425CB" w:rsidRPr="00E15F05" w:rsidRDefault="008425CB" w:rsidP="008425CB">
      <w:pPr>
        <w:rPr>
          <w:color w:val="D9D9D9" w:themeColor="background1" w:themeShade="D9"/>
          <w:sz w:val="16"/>
          <w:lang w:val="en-GB"/>
        </w:rPr>
      </w:pPr>
      <w:r w:rsidRPr="00E15F05">
        <w:rPr>
          <w:rStyle w:val="nowrap"/>
          <w:color w:val="D9D9D9" w:themeColor="background1" w:themeShade="D9"/>
        </w:rPr>
        <w:t>All cases after consultation with infectious diseases and NICD.</w:t>
      </w:r>
    </w:p>
    <w:p w14:paraId="03C7DF27" w14:textId="77777777" w:rsidR="008425CB" w:rsidRPr="0040596D" w:rsidRDefault="008425CB" w:rsidP="006D4FB6">
      <w:pPr>
        <w:rPr>
          <w:sz w:val="16"/>
          <w:lang w:val="en-GB"/>
        </w:rPr>
      </w:pPr>
    </w:p>
    <w:p w14:paraId="25C88774" w14:textId="77777777" w:rsidR="006D4FB6" w:rsidRPr="0040596D" w:rsidRDefault="006D4FB6" w:rsidP="006D4FB6">
      <w:pPr>
        <w:rPr>
          <w:sz w:val="16"/>
          <w:lang w:val="en-GB"/>
        </w:rPr>
      </w:pPr>
    </w:p>
    <w:p w14:paraId="19012E08" w14:textId="77777777" w:rsidR="006D4FB6" w:rsidRPr="00802C75" w:rsidRDefault="006D4FB6" w:rsidP="006D4FB6">
      <w:pPr>
        <w:pStyle w:val="Heading1"/>
        <w:rPr>
          <w:rFonts w:cs="Arial"/>
          <w:lang w:val="en-GB"/>
        </w:rPr>
      </w:pPr>
      <w:r w:rsidRPr="00802C75">
        <w:rPr>
          <w:rFonts w:cs="Arial"/>
          <w:lang w:val="en-GB"/>
        </w:rPr>
        <w:t>9.</w:t>
      </w:r>
      <w:r w:rsidR="008425CB">
        <w:rPr>
          <w:rFonts w:cs="Arial"/>
          <w:lang w:val="en-GB"/>
        </w:rPr>
        <w:t>5</w:t>
      </w:r>
      <w:r w:rsidR="008425CB" w:rsidRPr="00802C75">
        <w:rPr>
          <w:rFonts w:cs="Arial"/>
          <w:lang w:val="en-GB"/>
        </w:rPr>
        <w:t xml:space="preserve"> </w:t>
      </w:r>
      <w:r w:rsidRPr="00802C75">
        <w:rPr>
          <w:rFonts w:cs="Arial"/>
          <w:lang w:val="en-GB"/>
        </w:rPr>
        <w:t>HAEMORRHAGIC FEVER SYNDROME</w:t>
      </w:r>
    </w:p>
    <w:p w14:paraId="5D4FA7EB" w14:textId="2849E4E5" w:rsidR="006D4FB6" w:rsidRDefault="006D4FB6" w:rsidP="006D4FB6">
      <w:pPr>
        <w:pStyle w:val="ICD10heading"/>
        <w:rPr>
          <w:lang w:val="en-GB"/>
        </w:rPr>
      </w:pPr>
      <w:r w:rsidRPr="00802C75">
        <w:rPr>
          <w:lang w:val="en-GB"/>
        </w:rPr>
        <w:t>A98.0</w:t>
      </w:r>
      <w:r w:rsidR="0033323F">
        <w:rPr>
          <w:lang w:val="en-GB"/>
        </w:rPr>
        <w:t>-4/A98.8/A99</w:t>
      </w:r>
    </w:p>
    <w:p w14:paraId="35DEE003" w14:textId="7E4D5789" w:rsidR="002059B5" w:rsidRPr="002059B5" w:rsidRDefault="002059B5" w:rsidP="002059B5">
      <w:pPr>
        <w:rPr>
          <w:sz w:val="16"/>
          <w:szCs w:val="16"/>
        </w:rPr>
      </w:pPr>
      <w:r>
        <w:rPr>
          <w:sz w:val="16"/>
          <w:szCs w:val="16"/>
        </w:rPr>
        <w:t xml:space="preserve">* </w:t>
      </w:r>
      <w:r w:rsidR="007F7C88" w:rsidRPr="00D317FC">
        <w:rPr>
          <w:szCs w:val="16"/>
        </w:rPr>
        <w:t>N</w:t>
      </w:r>
      <w:r w:rsidRPr="00D317FC">
        <w:rPr>
          <w:szCs w:val="16"/>
        </w:rPr>
        <w:t>otifiable medical condition.</w:t>
      </w:r>
    </w:p>
    <w:p w14:paraId="53E9D95B" w14:textId="77777777" w:rsidR="006D4FB6" w:rsidRPr="00802C75" w:rsidRDefault="006D4FB6" w:rsidP="006D4FB6">
      <w:pPr>
        <w:rPr>
          <w:sz w:val="14"/>
          <w:szCs w:val="14"/>
          <w:lang w:val="en-GB"/>
        </w:rPr>
      </w:pPr>
    </w:p>
    <w:tbl>
      <w:tblPr>
        <w:tblW w:w="5000" w:type="pct"/>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6078"/>
      </w:tblGrid>
      <w:tr w:rsidR="006D4FB6" w:rsidRPr="00802C75" w14:paraId="539618BD" w14:textId="77777777" w:rsidTr="00D2536C">
        <w:tc>
          <w:tcPr>
            <w:tcW w:w="5000" w:type="pct"/>
          </w:tcPr>
          <w:p w14:paraId="4D4462FB" w14:textId="0006D4E8" w:rsidR="006D4FB6" w:rsidRPr="00802C75" w:rsidRDefault="006D4FB6" w:rsidP="006D4FB6">
            <w:pPr>
              <w:spacing w:before="40" w:after="40"/>
              <w:jc w:val="center"/>
              <w:rPr>
                <w:sz w:val="10"/>
                <w:szCs w:val="10"/>
                <w:lang w:val="en-GB"/>
              </w:rPr>
            </w:pPr>
            <w:r w:rsidRPr="00802C75">
              <w:rPr>
                <w:lang w:val="en-GB"/>
              </w:rPr>
              <w:t xml:space="preserve">Severe bacterial infections can mimic the features of haemorrhagic fever syndrome, and </w:t>
            </w:r>
            <w:r w:rsidR="00E712C0" w:rsidRPr="00802C75">
              <w:rPr>
                <w:lang w:val="en-GB"/>
              </w:rPr>
              <w:t>broad-spectrum</w:t>
            </w:r>
            <w:r w:rsidRPr="00802C75">
              <w:rPr>
                <w:lang w:val="en-GB"/>
              </w:rPr>
              <w:t xml:space="preserve"> antibiotics, </w:t>
            </w:r>
            <w:proofErr w:type="gramStart"/>
            <w:r w:rsidRPr="00802C75">
              <w:rPr>
                <w:lang w:val="en-GB"/>
              </w:rPr>
              <w:t>e.g.</w:t>
            </w:r>
            <w:proofErr w:type="gramEnd"/>
            <w:r w:rsidRPr="00802C75">
              <w:rPr>
                <w:lang w:val="en-GB"/>
              </w:rPr>
              <w:t xml:space="preserve"> ceftriaxone, IV, 2 g daily, are indicated in every case until the diagnosis is confirmed.</w:t>
            </w:r>
          </w:p>
        </w:tc>
      </w:tr>
    </w:tbl>
    <w:p w14:paraId="403FF788" w14:textId="77777777" w:rsidR="006D4FB6" w:rsidRPr="00802C75" w:rsidRDefault="006D4FB6" w:rsidP="006D4FB6">
      <w:pPr>
        <w:rPr>
          <w:sz w:val="16"/>
          <w:szCs w:val="16"/>
          <w:lang w:val="en-GB"/>
        </w:rPr>
      </w:pPr>
    </w:p>
    <w:p w14:paraId="7107F352" w14:textId="77777777" w:rsidR="006D4FB6" w:rsidRPr="00802C75" w:rsidRDefault="006D4FB6" w:rsidP="006D4FB6">
      <w:pPr>
        <w:pStyle w:val="Heading3"/>
        <w:rPr>
          <w:lang w:val="en-GB"/>
        </w:rPr>
      </w:pPr>
      <w:r w:rsidRPr="00802C75">
        <w:rPr>
          <w:lang w:val="en-GB"/>
        </w:rPr>
        <w:t>description</w:t>
      </w:r>
    </w:p>
    <w:p w14:paraId="590E859A" w14:textId="77777777" w:rsidR="006D4FB6" w:rsidRPr="00802C75" w:rsidRDefault="006D4FB6" w:rsidP="006D4FB6">
      <w:pPr>
        <w:rPr>
          <w:lang w:val="en-GB"/>
        </w:rPr>
      </w:pPr>
      <w:r w:rsidRPr="00802C75">
        <w:rPr>
          <w:lang w:val="en-GB"/>
        </w:rPr>
        <w:t xml:space="preserve">High fever, together with disseminated intravascular coagulation (DIC) and bleeding tendency. Other symptoms and organ involvement </w:t>
      </w:r>
      <w:r w:rsidR="0073527A">
        <w:rPr>
          <w:lang w:val="en-GB"/>
        </w:rPr>
        <w:t>vary according to the causative virus</w:t>
      </w:r>
      <w:r w:rsidRPr="00802C75">
        <w:rPr>
          <w:lang w:val="en-GB"/>
        </w:rPr>
        <w:t xml:space="preserve">. </w:t>
      </w:r>
    </w:p>
    <w:p w14:paraId="1D2845AE" w14:textId="77777777" w:rsidR="006D4FB6" w:rsidRPr="00802C75" w:rsidRDefault="006D4FB6" w:rsidP="006D4FB6">
      <w:pPr>
        <w:rPr>
          <w:lang w:val="en-GB"/>
        </w:rPr>
      </w:pPr>
      <w:r w:rsidRPr="00802C75">
        <w:rPr>
          <w:lang w:val="en-GB"/>
        </w:rPr>
        <w:t>Some important causes other than viral haemorrhagic fevers (VHF) are:</w:t>
      </w:r>
    </w:p>
    <w:p w14:paraId="2D05EACB" w14:textId="704FCDBD" w:rsidR="006D4FB6" w:rsidRPr="00802C75" w:rsidRDefault="0073527A" w:rsidP="00453E32">
      <w:pPr>
        <w:pStyle w:val="Textbullet"/>
        <w:ind w:left="284" w:hanging="284"/>
        <w:rPr>
          <w:lang w:val="en-GB"/>
        </w:rPr>
      </w:pPr>
      <w:r>
        <w:rPr>
          <w:lang w:val="en-GB"/>
        </w:rPr>
        <w:t xml:space="preserve">severe </w:t>
      </w:r>
      <w:r w:rsidR="006D4FB6" w:rsidRPr="00802C75">
        <w:rPr>
          <w:lang w:val="en-GB"/>
        </w:rPr>
        <w:t>bacterial</w:t>
      </w:r>
      <w:r>
        <w:rPr>
          <w:lang w:val="en-GB"/>
        </w:rPr>
        <w:t xml:space="preserve"> infections</w:t>
      </w:r>
      <w:r w:rsidR="006D4FB6" w:rsidRPr="00802C75">
        <w:rPr>
          <w:lang w:val="en-GB"/>
        </w:rPr>
        <w:t xml:space="preserve">, particularly </w:t>
      </w:r>
      <w:r w:rsidR="006D4FB6" w:rsidRPr="00802C75">
        <w:rPr>
          <w:i/>
          <w:lang w:val="en-GB"/>
        </w:rPr>
        <w:t>N.</w:t>
      </w:r>
      <w:r w:rsidR="00442057">
        <w:rPr>
          <w:i/>
          <w:lang w:val="en-GB"/>
        </w:rPr>
        <w:t xml:space="preserve"> </w:t>
      </w:r>
      <w:r w:rsidR="006D4FB6" w:rsidRPr="00802C75">
        <w:rPr>
          <w:i/>
          <w:lang w:val="en-GB"/>
        </w:rPr>
        <w:t>meningitidis,</w:t>
      </w:r>
    </w:p>
    <w:p w14:paraId="570D4BA1" w14:textId="77777777" w:rsidR="006D4FB6" w:rsidRPr="00802C75" w:rsidRDefault="006D4FB6" w:rsidP="00453E32">
      <w:pPr>
        <w:pStyle w:val="Textbullet"/>
        <w:ind w:left="284" w:hanging="284"/>
        <w:rPr>
          <w:lang w:val="en-GB"/>
        </w:rPr>
      </w:pPr>
      <w:r w:rsidRPr="00802C75">
        <w:rPr>
          <w:lang w:val="en-GB"/>
        </w:rPr>
        <w:t>severe tick bite fever,</w:t>
      </w:r>
    </w:p>
    <w:p w14:paraId="341B502E" w14:textId="77777777" w:rsidR="006D4FB6" w:rsidRPr="00802C75" w:rsidRDefault="006D4FB6" w:rsidP="00453E32">
      <w:pPr>
        <w:pStyle w:val="Textbullet"/>
        <w:ind w:left="284" w:hanging="284"/>
        <w:rPr>
          <w:lang w:val="en-GB"/>
        </w:rPr>
      </w:pPr>
      <w:r w:rsidRPr="00802C75">
        <w:rPr>
          <w:lang w:val="en-GB"/>
        </w:rPr>
        <w:lastRenderedPageBreak/>
        <w:t>severe falciparum malaria,</w:t>
      </w:r>
    </w:p>
    <w:p w14:paraId="16DFD5BF" w14:textId="77777777" w:rsidR="006D4FB6" w:rsidRPr="00802C75" w:rsidRDefault="006D4FB6" w:rsidP="00453E32">
      <w:pPr>
        <w:pStyle w:val="Textbullet"/>
        <w:ind w:left="284" w:hanging="284"/>
        <w:rPr>
          <w:lang w:val="en-GB"/>
        </w:rPr>
      </w:pPr>
      <w:r w:rsidRPr="00802C75">
        <w:rPr>
          <w:lang w:val="en-GB"/>
        </w:rPr>
        <w:t>fulminant hepatitis,</w:t>
      </w:r>
    </w:p>
    <w:p w14:paraId="2417BC7B" w14:textId="77777777" w:rsidR="006D4FB6" w:rsidRPr="00802C75" w:rsidRDefault="006D4FB6" w:rsidP="00453E32">
      <w:pPr>
        <w:pStyle w:val="Textbullet"/>
        <w:ind w:left="284" w:hanging="284"/>
        <w:rPr>
          <w:lang w:val="en-GB"/>
        </w:rPr>
      </w:pPr>
      <w:r w:rsidRPr="00802C75">
        <w:rPr>
          <w:lang w:val="en-GB"/>
        </w:rPr>
        <w:t>leptospirosis, and</w:t>
      </w:r>
    </w:p>
    <w:p w14:paraId="3DA68816" w14:textId="77777777" w:rsidR="006D4FB6" w:rsidRPr="00802C75" w:rsidRDefault="006D4FB6" w:rsidP="00453E32">
      <w:pPr>
        <w:pStyle w:val="Textbullet"/>
        <w:ind w:left="284" w:hanging="284"/>
        <w:rPr>
          <w:lang w:val="en-GB"/>
        </w:rPr>
      </w:pPr>
      <w:r w:rsidRPr="00802C75">
        <w:rPr>
          <w:lang w:val="en-GB"/>
        </w:rPr>
        <w:t>other causes for DIC or bleeding tendency.</w:t>
      </w:r>
    </w:p>
    <w:p w14:paraId="38BF7FD2" w14:textId="77777777" w:rsidR="006D4FB6" w:rsidRPr="00802C75" w:rsidRDefault="006D4FB6" w:rsidP="006D4FB6">
      <w:pPr>
        <w:rPr>
          <w:spacing w:val="-2"/>
          <w:lang w:val="en-GB"/>
        </w:rPr>
      </w:pPr>
      <w:r w:rsidRPr="00802C75">
        <w:rPr>
          <w:spacing w:val="-2"/>
          <w:lang w:val="en-GB"/>
        </w:rPr>
        <w:t>Endemic causes of VHF in South Africa are Crimean-Congo fever and Rift Valley Fever, both of which may be transmitted between humans by means of blood and body fluids.</w:t>
      </w:r>
    </w:p>
    <w:p w14:paraId="25976E3D" w14:textId="77777777" w:rsidR="006D4FB6" w:rsidRPr="00802C75" w:rsidRDefault="006D4FB6" w:rsidP="006D4FB6">
      <w:pPr>
        <w:rPr>
          <w:sz w:val="14"/>
          <w:szCs w:val="14"/>
          <w:lang w:val="en-GB"/>
        </w:rPr>
      </w:pPr>
    </w:p>
    <w:p w14:paraId="3D6CD08F" w14:textId="77777777" w:rsidR="006D4FB6" w:rsidRPr="00802C75" w:rsidRDefault="006D4FB6" w:rsidP="006D4FB6">
      <w:pPr>
        <w:pStyle w:val="Heading3"/>
        <w:rPr>
          <w:lang w:val="en-GB"/>
        </w:rPr>
      </w:pPr>
      <w:r w:rsidRPr="00802C75">
        <w:rPr>
          <w:lang w:val="en-GB"/>
        </w:rPr>
        <w:t>Referral</w:t>
      </w:r>
    </w:p>
    <w:p w14:paraId="1289D2D9" w14:textId="77777777" w:rsidR="006D4FB6" w:rsidRPr="00802C75" w:rsidRDefault="006D4FB6" w:rsidP="006D4FB6">
      <w:pPr>
        <w:rPr>
          <w:lang w:val="en-GB"/>
        </w:rPr>
      </w:pPr>
      <w:r w:rsidRPr="00802C75">
        <w:rPr>
          <w:lang w:val="en-GB"/>
        </w:rPr>
        <w:t xml:space="preserve">All suspected VHF cases need to be discussed and managed in consultation with the Regional Virologist or Infectious Diseases Consultant at the referral centre. </w:t>
      </w:r>
    </w:p>
    <w:p w14:paraId="4C6A7A97" w14:textId="77777777" w:rsidR="006D4FB6" w:rsidRPr="00802C75" w:rsidRDefault="006D4FB6" w:rsidP="006D4FB6">
      <w:pPr>
        <w:spacing w:after="60"/>
        <w:rPr>
          <w:lang w:val="en-GB"/>
        </w:rPr>
      </w:pPr>
      <w:r w:rsidRPr="00802C75">
        <w:rPr>
          <w:lang w:val="en-GB"/>
        </w:rPr>
        <w:t xml:space="preserve">Cases may also be discussed with the Special Pathogens Unit of the National Institute for Communicable Diseases (NICD): </w:t>
      </w:r>
    </w:p>
    <w:p w14:paraId="2BEDCFB1" w14:textId="77777777" w:rsidR="006D4FB6" w:rsidRPr="00802C75" w:rsidRDefault="006D4FB6" w:rsidP="006D4FB6">
      <w:pPr>
        <w:jc w:val="center"/>
        <w:rPr>
          <w:lang w:val="en-GB"/>
        </w:rPr>
      </w:pPr>
      <w:r w:rsidRPr="00802C75">
        <w:rPr>
          <w:b/>
          <w:lang w:val="en-GB"/>
        </w:rPr>
        <w:t>Tel: 011 386 6000, Outbreak hotline: 082 883 9920</w:t>
      </w:r>
    </w:p>
    <w:p w14:paraId="5D459529" w14:textId="77777777" w:rsidR="006D4FB6" w:rsidRPr="00802C75" w:rsidRDefault="006D4FB6" w:rsidP="006D4FB6">
      <w:pPr>
        <w:spacing w:before="60"/>
        <w:rPr>
          <w:lang w:val="en-GB"/>
        </w:rPr>
      </w:pPr>
      <w:r w:rsidRPr="00802C75">
        <w:rPr>
          <w:lang w:val="en-GB"/>
        </w:rPr>
        <w:t xml:space="preserve">Transfer of patients will only occur once all relevant arrangements have been made to limit further exposure to a potentially contagious and </w:t>
      </w:r>
      <w:proofErr w:type="gramStart"/>
      <w:r w:rsidRPr="00802C75">
        <w:rPr>
          <w:lang w:val="en-GB"/>
        </w:rPr>
        <w:t>life threatening</w:t>
      </w:r>
      <w:proofErr w:type="gramEnd"/>
      <w:r w:rsidRPr="00802C75">
        <w:rPr>
          <w:lang w:val="en-GB"/>
        </w:rPr>
        <w:t xml:space="preserve"> </w:t>
      </w:r>
      <w:r w:rsidR="00CF0482">
        <w:rPr>
          <w:lang w:val="en-GB"/>
        </w:rPr>
        <w:t>virus</w:t>
      </w:r>
      <w:r w:rsidRPr="00802C75">
        <w:rPr>
          <w:lang w:val="en-GB"/>
        </w:rPr>
        <w:t>.</w:t>
      </w:r>
    </w:p>
    <w:p w14:paraId="51783A42" w14:textId="77777777" w:rsidR="00360DE3" w:rsidRPr="00332747" w:rsidRDefault="00360DE3" w:rsidP="00360DE3">
      <w:pPr>
        <w:pStyle w:val="Heading3"/>
        <w:keepNext w:val="0"/>
        <w:widowControl w:val="0"/>
        <w:rPr>
          <w:b w:val="0"/>
          <w:sz w:val="18"/>
          <w:lang w:val="en-GB"/>
        </w:rPr>
      </w:pPr>
    </w:p>
    <w:p w14:paraId="0C5FD331" w14:textId="77777777" w:rsidR="006D4FB6" w:rsidRPr="00802C75" w:rsidRDefault="006D4FB6" w:rsidP="00360DE3">
      <w:pPr>
        <w:pStyle w:val="Heading3"/>
        <w:keepNext w:val="0"/>
        <w:widowControl w:val="0"/>
        <w:rPr>
          <w:lang w:val="en-GB"/>
        </w:rPr>
      </w:pPr>
      <w:r w:rsidRPr="00802C75">
        <w:rPr>
          <w:lang w:val="en-GB"/>
        </w:rPr>
        <w:t>Management</w:t>
      </w:r>
    </w:p>
    <w:p w14:paraId="5335B0C7" w14:textId="77777777" w:rsidR="006D4FB6" w:rsidRPr="00802C75" w:rsidRDefault="006D4FB6" w:rsidP="00360DE3">
      <w:pPr>
        <w:widowControl w:val="0"/>
        <w:rPr>
          <w:lang w:val="en-GB"/>
        </w:rPr>
      </w:pPr>
      <w:r w:rsidRPr="00802C75">
        <w:rPr>
          <w:lang w:val="en-GB"/>
        </w:rPr>
        <w:t xml:space="preserve">A detailed travel and clinical history </w:t>
      </w:r>
      <w:proofErr w:type="gramStart"/>
      <w:r w:rsidRPr="00802C75">
        <w:rPr>
          <w:lang w:val="en-GB"/>
        </w:rPr>
        <w:t>is</w:t>
      </w:r>
      <w:proofErr w:type="gramEnd"/>
      <w:r w:rsidRPr="00802C75">
        <w:rPr>
          <w:lang w:val="en-GB"/>
        </w:rPr>
        <w:t xml:space="preserve"> crucial. If VHF is still considered, isolate patient in a single room and take proper precautions to limit further exposure. These include:</w:t>
      </w:r>
    </w:p>
    <w:p w14:paraId="4DCBA20D" w14:textId="77777777" w:rsidR="006D4FB6" w:rsidRPr="00802C75" w:rsidRDefault="006D4FB6" w:rsidP="005048A2">
      <w:pPr>
        <w:pStyle w:val="Textbullet"/>
        <w:widowControl w:val="0"/>
        <w:ind w:left="284" w:hanging="284"/>
        <w:rPr>
          <w:lang w:val="en-GB"/>
        </w:rPr>
      </w:pPr>
      <w:r w:rsidRPr="00802C75">
        <w:rPr>
          <w:lang w:val="en-GB"/>
        </w:rPr>
        <w:t>long sleeved disposable gown,</w:t>
      </w:r>
    </w:p>
    <w:p w14:paraId="1814ABCF" w14:textId="77777777" w:rsidR="006D4FB6" w:rsidRPr="00802C75" w:rsidRDefault="006D4FB6" w:rsidP="005048A2">
      <w:pPr>
        <w:pStyle w:val="Textbullet"/>
        <w:widowControl w:val="0"/>
        <w:ind w:left="284" w:hanging="284"/>
        <w:rPr>
          <w:lang w:val="en-GB"/>
        </w:rPr>
      </w:pPr>
      <w:r w:rsidRPr="00802C75">
        <w:rPr>
          <w:lang w:val="en-GB"/>
        </w:rPr>
        <w:t>vinyl or rubber apron if the patient is bleeding,</w:t>
      </w:r>
    </w:p>
    <w:p w14:paraId="6C0FEAEE" w14:textId="77777777" w:rsidR="006D4FB6" w:rsidRPr="00802C75" w:rsidRDefault="006D4FB6" w:rsidP="005048A2">
      <w:pPr>
        <w:pStyle w:val="Textbullet"/>
        <w:widowControl w:val="0"/>
        <w:ind w:left="284" w:hanging="284"/>
        <w:rPr>
          <w:lang w:val="en-GB"/>
        </w:rPr>
      </w:pPr>
      <w:r w:rsidRPr="00802C75">
        <w:rPr>
          <w:lang w:val="en-GB"/>
        </w:rPr>
        <w:t>two pairs of latex gloves, one below the gown and one over the gown,</w:t>
      </w:r>
    </w:p>
    <w:p w14:paraId="39B49849" w14:textId="77777777" w:rsidR="006D4FB6" w:rsidRPr="00802C75" w:rsidRDefault="006D4FB6" w:rsidP="005048A2">
      <w:pPr>
        <w:pStyle w:val="Textbullet"/>
        <w:ind w:left="284" w:hanging="284"/>
        <w:rPr>
          <w:lang w:val="en-GB"/>
        </w:rPr>
      </w:pPr>
      <w:r w:rsidRPr="00802C75">
        <w:rPr>
          <w:lang w:val="en-GB"/>
        </w:rPr>
        <w:t>disposable face mask preferably with a visor,</w:t>
      </w:r>
    </w:p>
    <w:p w14:paraId="6042EAAE" w14:textId="77777777" w:rsidR="006D4FB6" w:rsidRPr="00802C75" w:rsidRDefault="006D4FB6" w:rsidP="005048A2">
      <w:pPr>
        <w:pStyle w:val="Textbullet"/>
        <w:ind w:left="284" w:hanging="284"/>
        <w:rPr>
          <w:lang w:val="en-GB"/>
        </w:rPr>
      </w:pPr>
      <w:r w:rsidRPr="00802C75">
        <w:rPr>
          <w:lang w:val="en-GB"/>
        </w:rPr>
        <w:t>goggles if a mask without the visor is used, and</w:t>
      </w:r>
    </w:p>
    <w:p w14:paraId="0231FDF7" w14:textId="77777777" w:rsidR="006D4FB6" w:rsidRPr="00802C75" w:rsidRDefault="006D4FB6" w:rsidP="005048A2">
      <w:pPr>
        <w:pStyle w:val="Textbullet"/>
        <w:ind w:left="284" w:hanging="284"/>
        <w:rPr>
          <w:lang w:val="en-GB"/>
        </w:rPr>
      </w:pPr>
      <w:r w:rsidRPr="00802C75">
        <w:rPr>
          <w:lang w:val="en-GB"/>
        </w:rPr>
        <w:t>waterproof boots or 2 pairs of overshoes, one over the other.</w:t>
      </w:r>
    </w:p>
    <w:p w14:paraId="52E89DA8" w14:textId="7E3920A8" w:rsidR="006D4FB6" w:rsidRPr="00D90CE5" w:rsidRDefault="006D4FB6" w:rsidP="006D4FB6">
      <w:pPr>
        <w:rPr>
          <w:spacing w:val="-2"/>
          <w:lang w:val="en-GB"/>
        </w:rPr>
      </w:pPr>
      <w:r w:rsidRPr="00D90CE5">
        <w:rPr>
          <w:spacing w:val="-2"/>
          <w:lang w:val="en-GB"/>
        </w:rPr>
        <w:t xml:space="preserve">Exclude alternate diseases by means of appropriate laboratory testing. </w:t>
      </w:r>
    </w:p>
    <w:p w14:paraId="40F52753" w14:textId="77777777" w:rsidR="006D4FB6" w:rsidRPr="00802C75" w:rsidRDefault="006D4FB6" w:rsidP="006D4FB6">
      <w:pPr>
        <w:rPr>
          <w:lang w:val="en-GB"/>
        </w:rPr>
      </w:pPr>
      <w:r w:rsidRPr="00802C75">
        <w:rPr>
          <w:lang w:val="en-GB"/>
        </w:rPr>
        <w:t>Support patients with packed red cells and fresh frozen plasma, as required.</w:t>
      </w:r>
    </w:p>
    <w:p w14:paraId="17F27E36" w14:textId="77777777" w:rsidR="006D4FB6" w:rsidRPr="00802C75" w:rsidRDefault="006D4FB6" w:rsidP="006D4FB6">
      <w:pPr>
        <w:rPr>
          <w:lang w:val="en-GB"/>
        </w:rPr>
      </w:pPr>
      <w:r w:rsidRPr="00802C75">
        <w:rPr>
          <w:lang w:val="en-GB"/>
        </w:rPr>
        <w:t>Testing for VHF may be required, both to confirm or exclude the possibility of VHF - this must be arranged with the NICD (see above), before sending the specimens, as specific precautions apply.</w:t>
      </w:r>
    </w:p>
    <w:p w14:paraId="4CE0960A" w14:textId="77777777" w:rsidR="006D4FB6" w:rsidRPr="00802C75" w:rsidRDefault="006D4FB6" w:rsidP="006D4FB6">
      <w:pPr>
        <w:rPr>
          <w:lang w:val="en-GB"/>
        </w:rPr>
      </w:pPr>
      <w:r w:rsidRPr="00802C75">
        <w:rPr>
          <w:lang w:val="en-GB"/>
        </w:rPr>
        <w:t>Record and follow up all patient contacts.</w:t>
      </w:r>
    </w:p>
    <w:p w14:paraId="5EE8CEDB" w14:textId="77777777" w:rsidR="006D4FB6" w:rsidRDefault="006D4FB6" w:rsidP="006D4FB6">
      <w:pPr>
        <w:rPr>
          <w:sz w:val="16"/>
          <w:lang w:val="en-GB"/>
        </w:rPr>
      </w:pPr>
    </w:p>
    <w:p w14:paraId="24547D81" w14:textId="77777777" w:rsidR="007D6517" w:rsidRDefault="007D6517" w:rsidP="006D4FB6">
      <w:pPr>
        <w:rPr>
          <w:sz w:val="16"/>
          <w:lang w:val="en-GB"/>
        </w:rPr>
      </w:pPr>
    </w:p>
    <w:p w14:paraId="585F7E73" w14:textId="77777777" w:rsidR="006D4FB6" w:rsidRPr="00802C75" w:rsidRDefault="006D4FB6" w:rsidP="006D4FB6">
      <w:pPr>
        <w:pStyle w:val="Heading1"/>
        <w:rPr>
          <w:rFonts w:cs="Arial"/>
          <w:lang w:val="en-GB"/>
        </w:rPr>
      </w:pPr>
      <w:r w:rsidRPr="00802C75">
        <w:rPr>
          <w:rFonts w:cs="Arial"/>
          <w:lang w:val="en-GB"/>
        </w:rPr>
        <w:t>9.</w:t>
      </w:r>
      <w:r w:rsidR="00234210">
        <w:rPr>
          <w:rFonts w:cs="Arial"/>
          <w:lang w:val="en-GB"/>
        </w:rPr>
        <w:t>6</w:t>
      </w:r>
      <w:r w:rsidR="00234210" w:rsidRPr="00802C75">
        <w:rPr>
          <w:rFonts w:cs="Arial"/>
          <w:lang w:val="en-GB"/>
        </w:rPr>
        <w:t xml:space="preserve"> </w:t>
      </w:r>
      <w:r w:rsidRPr="00802C75">
        <w:rPr>
          <w:rFonts w:cs="Arial"/>
          <w:lang w:val="en-GB"/>
        </w:rPr>
        <w:t>HYDATID DISEASE</w:t>
      </w:r>
    </w:p>
    <w:p w14:paraId="6282F1A5" w14:textId="77777777" w:rsidR="006D4FB6" w:rsidRPr="00802C75" w:rsidRDefault="006D4FB6" w:rsidP="006D4FB6">
      <w:pPr>
        <w:pStyle w:val="ICD10heading"/>
        <w:rPr>
          <w:lang w:val="en-GB"/>
        </w:rPr>
      </w:pPr>
      <w:r w:rsidRPr="00802C75">
        <w:rPr>
          <w:lang w:val="en-GB"/>
        </w:rPr>
        <w:t>B67</w:t>
      </w:r>
      <w:r w:rsidR="0033323F">
        <w:rPr>
          <w:lang w:val="en-GB"/>
        </w:rPr>
        <w:t>.0-9</w:t>
      </w:r>
    </w:p>
    <w:p w14:paraId="547D280C" w14:textId="77777777" w:rsidR="006D4FB6" w:rsidRPr="00DD35AF" w:rsidRDefault="006D4FB6" w:rsidP="006D4FB6">
      <w:pPr>
        <w:rPr>
          <w:sz w:val="16"/>
          <w:lang w:val="en-GB"/>
        </w:rPr>
      </w:pPr>
    </w:p>
    <w:p w14:paraId="60763DC8" w14:textId="77777777" w:rsidR="006D4FB6" w:rsidRPr="00802C75" w:rsidRDefault="006D4FB6" w:rsidP="00736E24">
      <w:pPr>
        <w:pStyle w:val="Heading3"/>
        <w:keepNext w:val="0"/>
        <w:widowControl w:val="0"/>
        <w:rPr>
          <w:lang w:val="en-GB"/>
        </w:rPr>
      </w:pPr>
      <w:r w:rsidRPr="00802C75">
        <w:rPr>
          <w:lang w:val="en-GB"/>
        </w:rPr>
        <w:t>Description</w:t>
      </w:r>
    </w:p>
    <w:p w14:paraId="332D114D" w14:textId="5AD16110" w:rsidR="006D4FB6" w:rsidRPr="00802C75" w:rsidRDefault="006D4FB6" w:rsidP="00736E24">
      <w:pPr>
        <w:widowControl w:val="0"/>
        <w:rPr>
          <w:lang w:val="en-GB"/>
        </w:rPr>
      </w:pPr>
      <w:r w:rsidRPr="00802C75">
        <w:rPr>
          <w:lang w:val="en-GB"/>
        </w:rPr>
        <w:t xml:space="preserve">Cysts of </w:t>
      </w:r>
      <w:r w:rsidRPr="00802C75">
        <w:rPr>
          <w:i/>
          <w:lang w:val="en-GB"/>
        </w:rPr>
        <w:t xml:space="preserve">E. </w:t>
      </w:r>
      <w:proofErr w:type="spellStart"/>
      <w:r w:rsidRPr="00802C75">
        <w:rPr>
          <w:i/>
          <w:lang w:val="en-GB"/>
        </w:rPr>
        <w:t>granulosus</w:t>
      </w:r>
      <w:proofErr w:type="spellEnd"/>
      <w:r w:rsidRPr="00802C75">
        <w:rPr>
          <w:lang w:val="en-GB"/>
        </w:rPr>
        <w:t xml:space="preserve">, acquired from </w:t>
      </w:r>
      <w:r w:rsidR="00AB216C" w:rsidRPr="00802C75">
        <w:rPr>
          <w:lang w:val="en-GB"/>
        </w:rPr>
        <w:t xml:space="preserve">ingestion of helminth ova passed out in </w:t>
      </w:r>
      <w:r w:rsidRPr="00802C75">
        <w:rPr>
          <w:lang w:val="en-GB"/>
        </w:rPr>
        <w:t>dog</w:t>
      </w:r>
      <w:r w:rsidR="00AB216C" w:rsidRPr="00802C75">
        <w:rPr>
          <w:lang w:val="en-GB"/>
        </w:rPr>
        <w:t xml:space="preserve"> faeces,</w:t>
      </w:r>
      <w:r w:rsidR="005045E6">
        <w:rPr>
          <w:lang w:val="en-GB"/>
        </w:rPr>
        <w:t xml:space="preserve"> </w:t>
      </w:r>
      <w:r w:rsidR="00AB216C" w:rsidRPr="00802C75">
        <w:rPr>
          <w:lang w:val="en-GB"/>
        </w:rPr>
        <w:t xml:space="preserve">particularly </w:t>
      </w:r>
      <w:r w:rsidRPr="00802C75">
        <w:rPr>
          <w:lang w:val="en-GB"/>
        </w:rPr>
        <w:t>in sheep-farming areas</w:t>
      </w:r>
      <w:r w:rsidR="006D2EE4" w:rsidRPr="00802C75">
        <w:rPr>
          <w:lang w:val="en-GB"/>
        </w:rPr>
        <w:t>.</w:t>
      </w:r>
      <w:r w:rsidRPr="00802C75">
        <w:rPr>
          <w:lang w:val="en-GB"/>
        </w:rPr>
        <w:t xml:space="preserve"> Cysts may occur in any </w:t>
      </w:r>
      <w:proofErr w:type="gramStart"/>
      <w:r w:rsidRPr="00802C75">
        <w:rPr>
          <w:lang w:val="en-GB"/>
        </w:rPr>
        <w:t>organ, but</w:t>
      </w:r>
      <w:proofErr w:type="gramEnd"/>
      <w:r w:rsidRPr="00802C75">
        <w:rPr>
          <w:lang w:val="en-GB"/>
        </w:rPr>
        <w:t xml:space="preserve"> are most commonly found in the liver and lungs.</w:t>
      </w:r>
    </w:p>
    <w:p w14:paraId="62FD832C" w14:textId="77777777" w:rsidR="00C53E66" w:rsidRPr="00507AAD" w:rsidRDefault="00C53E66" w:rsidP="00C53E66">
      <w:pPr>
        <w:rPr>
          <w:lang w:val="en-GB"/>
        </w:rPr>
      </w:pPr>
      <w:r w:rsidRPr="00C53E66">
        <w:rPr>
          <w:b/>
          <w:lang w:val="en-GB"/>
        </w:rPr>
        <w:lastRenderedPageBreak/>
        <w:t>Note:</w:t>
      </w:r>
      <w:r w:rsidR="00536723">
        <w:rPr>
          <w:b/>
          <w:lang w:val="en-GB"/>
        </w:rPr>
        <w:t xml:space="preserve"> </w:t>
      </w:r>
      <w:r w:rsidRPr="00507AAD">
        <w:rPr>
          <w:lang w:val="en-GB"/>
        </w:rPr>
        <w:t>Definitive treatment with surgery or PAIR (</w:t>
      </w:r>
      <w:r w:rsidRPr="00453E32">
        <w:rPr>
          <w:b/>
          <w:bCs/>
          <w:lang w:val="en-GB"/>
        </w:rPr>
        <w:t>p</w:t>
      </w:r>
      <w:r w:rsidRPr="00507AAD">
        <w:rPr>
          <w:lang w:val="en-GB"/>
        </w:rPr>
        <w:t xml:space="preserve">ercutaneous </w:t>
      </w:r>
      <w:r w:rsidRPr="00453E32">
        <w:rPr>
          <w:b/>
          <w:bCs/>
          <w:lang w:val="en-GB"/>
        </w:rPr>
        <w:t>a</w:t>
      </w:r>
      <w:r w:rsidRPr="00507AAD">
        <w:rPr>
          <w:lang w:val="en-GB"/>
        </w:rPr>
        <w:t xml:space="preserve">spiration </w:t>
      </w:r>
      <w:r w:rsidRPr="00453E32">
        <w:rPr>
          <w:b/>
          <w:bCs/>
          <w:lang w:val="en-GB"/>
        </w:rPr>
        <w:t>i</w:t>
      </w:r>
      <w:r w:rsidRPr="00507AAD">
        <w:rPr>
          <w:lang w:val="en-GB"/>
        </w:rPr>
        <w:t xml:space="preserve">njection of </w:t>
      </w:r>
      <w:proofErr w:type="spellStart"/>
      <w:r w:rsidRPr="00507AAD">
        <w:rPr>
          <w:lang w:val="en-GB"/>
        </w:rPr>
        <w:t>helminthicidal</w:t>
      </w:r>
      <w:proofErr w:type="spellEnd"/>
      <w:r w:rsidRPr="00507AAD">
        <w:rPr>
          <w:lang w:val="en-GB"/>
        </w:rPr>
        <w:t xml:space="preserve"> agent and </w:t>
      </w:r>
      <w:r w:rsidRPr="00453E32">
        <w:rPr>
          <w:b/>
          <w:bCs/>
          <w:lang w:val="en-GB"/>
        </w:rPr>
        <w:t>r</w:t>
      </w:r>
      <w:r w:rsidRPr="00507AAD">
        <w:rPr>
          <w:lang w:val="en-GB"/>
        </w:rPr>
        <w:t xml:space="preserve">e-aspiration) is preferred for all accessible lesions. </w:t>
      </w:r>
    </w:p>
    <w:p w14:paraId="329E24C6" w14:textId="77777777" w:rsidR="00C53E66" w:rsidRPr="00802C75" w:rsidRDefault="00C53E66" w:rsidP="00C53E66">
      <w:pPr>
        <w:rPr>
          <w:lang w:val="en-GB"/>
        </w:rPr>
      </w:pPr>
      <w:r w:rsidRPr="00802C75">
        <w:rPr>
          <w:lang w:val="en-GB"/>
        </w:rPr>
        <w:t xml:space="preserve">With medical therapy as </w:t>
      </w:r>
      <w:r>
        <w:rPr>
          <w:lang w:val="en-GB"/>
        </w:rPr>
        <w:t>below</w:t>
      </w:r>
      <w:r w:rsidRPr="00802C75">
        <w:rPr>
          <w:lang w:val="en-GB"/>
        </w:rPr>
        <w:t xml:space="preserve">, cure is achieved in about half, improvement in about a quarter and no response in about a quarter of cases. </w:t>
      </w:r>
    </w:p>
    <w:p w14:paraId="21728AC3" w14:textId="7BBAFB7C" w:rsidR="00BB1D9C" w:rsidRPr="00C53E66" w:rsidRDefault="00BB1D9C" w:rsidP="00BB1D9C">
      <w:pPr>
        <w:rPr>
          <w:b/>
          <w:sz w:val="20"/>
          <w:lang w:val="en-GB"/>
        </w:rPr>
      </w:pPr>
      <w:r w:rsidRPr="00C53E66">
        <w:rPr>
          <w:b/>
          <w:sz w:val="20"/>
          <w:lang w:val="en-GB"/>
        </w:rPr>
        <w:t xml:space="preserve">MEDICINE TREATMENT </w:t>
      </w:r>
    </w:p>
    <w:p w14:paraId="0FEEEC44" w14:textId="256926F3" w:rsidR="00D2536C" w:rsidRPr="00802C75" w:rsidRDefault="006D4FB6" w:rsidP="00D2536C">
      <w:pPr>
        <w:pStyle w:val="Medicinebullet1"/>
        <w:numPr>
          <w:ilvl w:val="0"/>
          <w:numId w:val="3"/>
        </w:numPr>
        <w:ind w:left="284" w:hanging="284"/>
        <w:jc w:val="both"/>
        <w:rPr>
          <w:rFonts w:cs="Arial"/>
          <w:lang w:val="en-GB"/>
        </w:rPr>
      </w:pPr>
      <w:r w:rsidRPr="00802C75">
        <w:rPr>
          <w:rFonts w:cs="Arial"/>
          <w:lang w:val="en-GB"/>
        </w:rPr>
        <w:t>Albendazole, oral, 15 mg/kg/day up to maximum of 400 mg 12 hourly</w:t>
      </w:r>
      <w:r w:rsidR="00852BF0" w:rsidRPr="00802C75">
        <w:rPr>
          <w:rFonts w:cs="Arial"/>
          <w:lang w:val="en-GB"/>
        </w:rPr>
        <w:t xml:space="preserve"> </w:t>
      </w:r>
    </w:p>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
      </w:tblGrid>
      <w:tr w:rsidR="00D2536C" w:rsidRPr="00AE506D" w14:paraId="52F317AD" w14:textId="77777777" w:rsidTr="00C11A58">
        <w:tc>
          <w:tcPr>
            <w:tcW w:w="1134" w:type="dxa"/>
            <w:shd w:val="clear" w:color="auto" w:fill="auto"/>
          </w:tcPr>
          <w:p w14:paraId="5BEA9F6E" w14:textId="79C56673" w:rsidR="00D2536C" w:rsidRPr="00AE506D" w:rsidRDefault="00D2536C" w:rsidP="00C11A58">
            <w:pPr>
              <w:jc w:val="right"/>
              <w:rPr>
                <w:b/>
                <w:i/>
                <w:sz w:val="16"/>
              </w:rPr>
            </w:pPr>
            <w:proofErr w:type="spellStart"/>
            <w:r w:rsidRPr="00AE506D">
              <w:rPr>
                <w:i/>
                <w:sz w:val="16"/>
              </w:rPr>
              <w:t>LoE:III</w:t>
            </w:r>
            <w:r w:rsidR="00C728E1">
              <w:rPr>
                <w:i/>
                <w:sz w:val="16"/>
              </w:rPr>
              <w:t>b</w:t>
            </w:r>
            <w:proofErr w:type="spellEnd"/>
            <w:r w:rsidRPr="00AE506D">
              <w:rPr>
                <w:i/>
                <w:sz w:val="16"/>
                <w:vertAlign w:val="superscript"/>
              </w:rPr>
              <w:endnoteReference w:id="25"/>
            </w:r>
          </w:p>
        </w:tc>
      </w:tr>
    </w:tbl>
    <w:p w14:paraId="42421B81" w14:textId="4F14652E" w:rsidR="00507AAD" w:rsidRPr="00802C75" w:rsidRDefault="006A3613" w:rsidP="00D2536C">
      <w:pPr>
        <w:pStyle w:val="Medicinebullet1"/>
        <w:ind w:left="284"/>
        <w:jc w:val="both"/>
        <w:rPr>
          <w:rFonts w:cs="Arial"/>
          <w:lang w:val="en-GB"/>
        </w:rPr>
      </w:pPr>
      <w:r>
        <w:rPr>
          <w:rFonts w:cs="Arial"/>
          <w:lang w:val="en-GB"/>
        </w:rPr>
        <w:t xml:space="preserve">with </w:t>
      </w:r>
      <w:r w:rsidR="00852BF0" w:rsidRPr="00802C75">
        <w:rPr>
          <w:rFonts w:cs="Arial"/>
          <w:lang w:val="en-GB"/>
        </w:rPr>
        <w:t>a fatty meal (e.g. a glass of full cream milk)</w:t>
      </w:r>
      <w:r w:rsidR="00D2536C">
        <w:rPr>
          <w:rFonts w:cs="Arial"/>
          <w:lang w:val="en-GB"/>
        </w:rPr>
        <w:t>.</w:t>
      </w:r>
    </w:p>
    <w:p w14:paraId="58A1535F" w14:textId="77777777" w:rsidR="00D2536C" w:rsidRDefault="00967575" w:rsidP="00D2536C">
      <w:pPr>
        <w:numPr>
          <w:ilvl w:val="0"/>
          <w:numId w:val="7"/>
        </w:numPr>
        <w:tabs>
          <w:tab w:val="clear" w:pos="2694"/>
          <w:tab w:val="clear" w:pos="2977"/>
        </w:tabs>
        <w:ind w:left="567" w:hanging="283"/>
        <w:rPr>
          <w:lang w:val="en-GB"/>
        </w:rPr>
      </w:pPr>
      <w:r>
        <w:rPr>
          <w:lang w:val="en-GB"/>
        </w:rPr>
        <w:t xml:space="preserve">Duration is </w:t>
      </w:r>
      <w:r w:rsidR="004F7659" w:rsidRPr="00802C75">
        <w:rPr>
          <w:lang w:val="en-GB"/>
        </w:rPr>
        <w:t>3–6 months</w:t>
      </w:r>
      <w:r w:rsidR="004F7659">
        <w:rPr>
          <w:lang w:val="en-GB"/>
        </w:rPr>
        <w:t xml:space="preserve"> </w:t>
      </w:r>
      <w:r w:rsidR="004F7659" w:rsidRPr="00802C75">
        <w:rPr>
          <w:lang w:val="en-GB"/>
        </w:rPr>
        <w:t>according to response on imaging</w:t>
      </w:r>
      <w:r w:rsidR="004F7659">
        <w:rPr>
          <w:lang w:val="en-GB"/>
        </w:rPr>
        <w:t xml:space="preserve"> </w:t>
      </w:r>
      <w:r w:rsidR="00E9293D">
        <w:rPr>
          <w:lang w:val="en-GB"/>
        </w:rPr>
        <w:t xml:space="preserve">for inoperable cysts </w:t>
      </w:r>
      <w:r w:rsidR="00E9293D" w:rsidRPr="00453E32">
        <w:rPr>
          <w:b/>
          <w:bCs/>
          <w:lang w:val="en-GB"/>
        </w:rPr>
        <w:t>or</w:t>
      </w:r>
      <w:r w:rsidR="00E9293D">
        <w:rPr>
          <w:lang w:val="en-GB"/>
        </w:rPr>
        <w:t xml:space="preserve"> </w:t>
      </w:r>
      <w:r w:rsidR="00327C1B">
        <w:rPr>
          <w:lang w:val="en-GB"/>
        </w:rPr>
        <w:t>14</w:t>
      </w:r>
      <w:r w:rsidR="00D2536C">
        <w:rPr>
          <w:lang w:val="en-GB"/>
        </w:rPr>
        <w:t>–</w:t>
      </w:r>
      <w:r w:rsidR="00327C1B">
        <w:rPr>
          <w:lang w:val="en-GB"/>
        </w:rPr>
        <w:t>28 days before</w:t>
      </w:r>
      <w:r w:rsidR="00B60EAF">
        <w:rPr>
          <w:lang w:val="en-GB"/>
        </w:rPr>
        <w:t xml:space="preserve"> and 28 </w:t>
      </w:r>
      <w:r w:rsidR="003E45B2">
        <w:rPr>
          <w:lang w:val="en-GB"/>
        </w:rPr>
        <w:t xml:space="preserve">days after </w:t>
      </w:r>
    </w:p>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
      </w:tblGrid>
      <w:tr w:rsidR="00D2536C" w:rsidRPr="007D5614" w14:paraId="17BBF0A5" w14:textId="77777777" w:rsidTr="00C11A58">
        <w:tc>
          <w:tcPr>
            <w:tcW w:w="1134" w:type="dxa"/>
            <w:shd w:val="clear" w:color="auto" w:fill="auto"/>
          </w:tcPr>
          <w:p w14:paraId="4008413F" w14:textId="5BE60A2F" w:rsidR="00D2536C" w:rsidRPr="007D5614" w:rsidRDefault="00D2536C" w:rsidP="00C11A58">
            <w:pPr>
              <w:jc w:val="right"/>
              <w:rPr>
                <w:b/>
                <w:i/>
                <w:sz w:val="16"/>
              </w:rPr>
            </w:pPr>
            <w:proofErr w:type="spellStart"/>
            <w:r w:rsidRPr="007D5614">
              <w:rPr>
                <w:i/>
                <w:sz w:val="16"/>
              </w:rPr>
              <w:t>LoE:I</w:t>
            </w:r>
            <w:r w:rsidR="00690E6D">
              <w:rPr>
                <w:i/>
                <w:sz w:val="16"/>
              </w:rPr>
              <w:t>a</w:t>
            </w:r>
            <w:proofErr w:type="spellEnd"/>
            <w:r w:rsidRPr="007D5614">
              <w:rPr>
                <w:i/>
                <w:sz w:val="16"/>
                <w:vertAlign w:val="superscript"/>
              </w:rPr>
              <w:endnoteReference w:id="26"/>
            </w:r>
          </w:p>
        </w:tc>
      </w:tr>
    </w:tbl>
    <w:p w14:paraId="795A8AFE" w14:textId="4175ECDB" w:rsidR="00967575" w:rsidRDefault="00327C1B" w:rsidP="00D2536C">
      <w:pPr>
        <w:tabs>
          <w:tab w:val="clear" w:pos="2694"/>
          <w:tab w:val="clear" w:pos="2977"/>
        </w:tabs>
        <w:ind w:left="567"/>
        <w:rPr>
          <w:lang w:val="en-GB"/>
        </w:rPr>
      </w:pPr>
      <w:r>
        <w:rPr>
          <w:lang w:val="en-GB"/>
        </w:rPr>
        <w:t>PAIR or surgery</w:t>
      </w:r>
      <w:r w:rsidR="004D3C2D">
        <w:rPr>
          <w:lang w:val="en-GB"/>
        </w:rPr>
        <w:t>.</w:t>
      </w:r>
      <w:r w:rsidR="004F7659">
        <w:rPr>
          <w:lang w:val="en-GB"/>
        </w:rPr>
        <w:t xml:space="preserve"> </w:t>
      </w:r>
    </w:p>
    <w:p w14:paraId="653B86A4" w14:textId="3F10762E" w:rsidR="006D4FB6" w:rsidRPr="00802C75" w:rsidRDefault="006D4FB6" w:rsidP="00D2536C">
      <w:pPr>
        <w:numPr>
          <w:ilvl w:val="0"/>
          <w:numId w:val="7"/>
        </w:numPr>
        <w:tabs>
          <w:tab w:val="clear" w:pos="2694"/>
          <w:tab w:val="clear" w:pos="2977"/>
        </w:tabs>
        <w:ind w:left="567" w:hanging="283"/>
        <w:rPr>
          <w:lang w:val="en-GB"/>
        </w:rPr>
      </w:pPr>
      <w:r w:rsidRPr="005048A2">
        <w:rPr>
          <w:spacing w:val="-2"/>
          <w:lang w:val="en-GB"/>
        </w:rPr>
        <w:t xml:space="preserve">Monitor liver function tests and </w:t>
      </w:r>
      <w:r w:rsidR="00FE011D">
        <w:rPr>
          <w:spacing w:val="-2"/>
          <w:lang w:val="en-GB"/>
        </w:rPr>
        <w:t>FBCs</w:t>
      </w:r>
      <w:r w:rsidRPr="005048A2">
        <w:rPr>
          <w:spacing w:val="-2"/>
          <w:lang w:val="en-GB"/>
        </w:rPr>
        <w:t xml:space="preserve"> monthly</w:t>
      </w:r>
      <w:r w:rsidRPr="00802C75">
        <w:rPr>
          <w:lang w:val="en-GB"/>
        </w:rPr>
        <w:t>.</w:t>
      </w:r>
    </w:p>
    <w:p w14:paraId="7CB299C0" w14:textId="77777777" w:rsidR="006D4FB6" w:rsidRPr="00802C75" w:rsidRDefault="006D4FB6" w:rsidP="00507AAD">
      <w:pPr>
        <w:tabs>
          <w:tab w:val="clear" w:pos="2694"/>
          <w:tab w:val="clear" w:pos="2977"/>
        </w:tabs>
        <w:ind w:left="709"/>
        <w:jc w:val="left"/>
        <w:rPr>
          <w:lang w:val="en-GB"/>
        </w:rPr>
      </w:pPr>
    </w:p>
    <w:p w14:paraId="6AC16524" w14:textId="77777777" w:rsidR="006D4FB6" w:rsidRPr="00802C75" w:rsidRDefault="006D4FB6" w:rsidP="006D4FB6">
      <w:pPr>
        <w:rPr>
          <w:lang w:val="en-GB"/>
        </w:rPr>
      </w:pPr>
      <w:r w:rsidRPr="00802C75">
        <w:rPr>
          <w:b/>
          <w:bCs/>
          <w:caps/>
          <w:sz w:val="20"/>
          <w:lang w:val="en-GB"/>
        </w:rPr>
        <w:t>ReferraL</w:t>
      </w:r>
    </w:p>
    <w:p w14:paraId="185202CD" w14:textId="77777777" w:rsidR="006D4FB6" w:rsidRPr="00802C75" w:rsidRDefault="006D4FB6" w:rsidP="00305BD3">
      <w:pPr>
        <w:pStyle w:val="Textbullet"/>
        <w:numPr>
          <w:ilvl w:val="0"/>
          <w:numId w:val="0"/>
        </w:numPr>
        <w:rPr>
          <w:lang w:val="en-GB"/>
        </w:rPr>
      </w:pPr>
      <w:r w:rsidRPr="00802C75">
        <w:rPr>
          <w:lang w:val="en-GB"/>
        </w:rPr>
        <w:t>All cases to a centre with experience in surgery and PAIR.</w:t>
      </w:r>
    </w:p>
    <w:p w14:paraId="1D423B75" w14:textId="77777777" w:rsidR="006D4FB6" w:rsidRPr="00DD35AF" w:rsidRDefault="006D4FB6" w:rsidP="006D4FB6">
      <w:pPr>
        <w:rPr>
          <w:sz w:val="16"/>
          <w:lang w:val="en-GB"/>
        </w:rPr>
      </w:pPr>
    </w:p>
    <w:p w14:paraId="10EFA7D6" w14:textId="7925DDF1" w:rsidR="00332747" w:rsidRDefault="00332747" w:rsidP="006D4FB6">
      <w:pPr>
        <w:rPr>
          <w:sz w:val="16"/>
          <w:lang w:val="en-GB"/>
        </w:rPr>
      </w:pPr>
    </w:p>
    <w:p w14:paraId="55067649" w14:textId="77777777" w:rsidR="006D4FB6" w:rsidRPr="00802C75" w:rsidRDefault="006D4FB6" w:rsidP="006D4FB6">
      <w:pPr>
        <w:pStyle w:val="Heading1"/>
        <w:rPr>
          <w:rFonts w:cs="Arial"/>
          <w:lang w:val="en-GB"/>
        </w:rPr>
      </w:pPr>
      <w:r w:rsidRPr="00802C75">
        <w:rPr>
          <w:rFonts w:cs="Arial"/>
          <w:lang w:val="en-GB"/>
        </w:rPr>
        <w:t>9.</w:t>
      </w:r>
      <w:r w:rsidR="00234210">
        <w:rPr>
          <w:rFonts w:cs="Arial"/>
          <w:lang w:val="en-GB"/>
        </w:rPr>
        <w:t>7</w:t>
      </w:r>
      <w:r w:rsidR="00234210" w:rsidRPr="00802C75">
        <w:rPr>
          <w:rFonts w:cs="Arial"/>
          <w:lang w:val="en-GB"/>
        </w:rPr>
        <w:t xml:space="preserve"> </w:t>
      </w:r>
      <w:r w:rsidRPr="00802C75">
        <w:rPr>
          <w:rFonts w:cs="Arial"/>
          <w:lang w:val="en-GB"/>
        </w:rPr>
        <w:t>malaria</w:t>
      </w:r>
    </w:p>
    <w:p w14:paraId="73F4BB8A" w14:textId="6FB0E9F1" w:rsidR="006D4FB6" w:rsidRDefault="00DA161B" w:rsidP="006D4FB6">
      <w:pPr>
        <w:rPr>
          <w:iCs/>
          <w:color w:val="auto"/>
          <w:szCs w:val="16"/>
          <w:lang w:val="en-GB"/>
        </w:rPr>
      </w:pPr>
      <w:r w:rsidRPr="0040596D">
        <w:rPr>
          <w:iCs/>
          <w:color w:val="auto"/>
          <w:szCs w:val="16"/>
          <w:lang w:val="en-GB"/>
        </w:rPr>
        <w:t>See the Primary Health Care STG</w:t>
      </w:r>
      <w:r w:rsidR="003C0198">
        <w:rPr>
          <w:iCs/>
          <w:color w:val="auto"/>
          <w:szCs w:val="16"/>
          <w:lang w:val="en-GB"/>
        </w:rPr>
        <w:t>s</w:t>
      </w:r>
      <w:r w:rsidRPr="0040596D">
        <w:rPr>
          <w:iCs/>
          <w:color w:val="auto"/>
          <w:szCs w:val="16"/>
          <w:lang w:val="en-GB"/>
        </w:rPr>
        <w:t xml:space="preserve"> and EML - Section </w:t>
      </w:r>
      <w:r>
        <w:rPr>
          <w:iCs/>
          <w:color w:val="auto"/>
          <w:szCs w:val="16"/>
          <w:lang w:val="en-GB"/>
        </w:rPr>
        <w:t>10.7: Malaria.</w:t>
      </w:r>
    </w:p>
    <w:p w14:paraId="667A5B1D" w14:textId="77777777" w:rsidR="00DA161B" w:rsidRPr="00DD35AF" w:rsidRDefault="00DA161B" w:rsidP="006D4FB6">
      <w:pPr>
        <w:rPr>
          <w:sz w:val="16"/>
          <w:lang w:val="en-GB"/>
        </w:rPr>
      </w:pPr>
    </w:p>
    <w:p w14:paraId="0ECB81FD" w14:textId="77777777" w:rsidR="006D4FB6" w:rsidRPr="00802C75" w:rsidRDefault="006D4FB6" w:rsidP="006D4FB6">
      <w:pPr>
        <w:pStyle w:val="Heading2"/>
        <w:rPr>
          <w:sz w:val="22"/>
          <w:szCs w:val="22"/>
          <w:lang w:val="en-GB"/>
        </w:rPr>
      </w:pPr>
      <w:r w:rsidRPr="00802C75">
        <w:rPr>
          <w:sz w:val="22"/>
          <w:szCs w:val="22"/>
          <w:lang w:val="en-GB"/>
        </w:rPr>
        <w:t>9.</w:t>
      </w:r>
      <w:r w:rsidR="00234210">
        <w:rPr>
          <w:sz w:val="22"/>
          <w:szCs w:val="22"/>
          <w:lang w:val="en-GB"/>
        </w:rPr>
        <w:t>7</w:t>
      </w:r>
      <w:r w:rsidRPr="00802C75">
        <w:rPr>
          <w:sz w:val="22"/>
          <w:szCs w:val="22"/>
          <w:lang w:val="en-GB"/>
        </w:rPr>
        <w:t xml:space="preserve">.1 Malaria, </w:t>
      </w:r>
      <w:r w:rsidR="00BC46AC">
        <w:rPr>
          <w:sz w:val="22"/>
          <w:szCs w:val="22"/>
          <w:lang w:val="en-GB"/>
        </w:rPr>
        <w:t>UNCOMPLICATED</w:t>
      </w:r>
      <w:r w:rsidRPr="00802C75">
        <w:rPr>
          <w:sz w:val="22"/>
          <w:szCs w:val="22"/>
          <w:lang w:val="en-GB"/>
        </w:rPr>
        <w:t xml:space="preserve"> </w:t>
      </w:r>
    </w:p>
    <w:p w14:paraId="30468D45" w14:textId="77777777" w:rsidR="006D4FB6" w:rsidRPr="00802C75" w:rsidRDefault="006D4FB6" w:rsidP="006D4FB6">
      <w:pPr>
        <w:pStyle w:val="ICD10heading"/>
        <w:rPr>
          <w:lang w:val="en-GB"/>
        </w:rPr>
      </w:pPr>
      <w:r w:rsidRPr="00802C75">
        <w:rPr>
          <w:lang w:val="en-GB"/>
        </w:rPr>
        <w:t>B54</w:t>
      </w:r>
      <w:r w:rsidR="0033323F">
        <w:rPr>
          <w:lang w:val="en-GB"/>
        </w:rPr>
        <w:t>/B51.9/B52.9/B53.0</w:t>
      </w:r>
      <w:r w:rsidRPr="00802C75">
        <w:rPr>
          <w:lang w:val="en-GB"/>
        </w:rPr>
        <w:t xml:space="preserve"> </w:t>
      </w:r>
    </w:p>
    <w:p w14:paraId="1DA6590D" w14:textId="55BD91D0" w:rsidR="006D4FB6" w:rsidRPr="00802C75" w:rsidRDefault="006D4FB6" w:rsidP="006D4FB6">
      <w:pPr>
        <w:rPr>
          <w:lang w:val="en-GB"/>
        </w:rPr>
      </w:pPr>
      <w:r w:rsidRPr="00802C75">
        <w:rPr>
          <w:lang w:val="en-GB"/>
        </w:rPr>
        <w:t>*</w:t>
      </w:r>
      <w:r w:rsidR="00CE4E8A">
        <w:rPr>
          <w:lang w:val="en-GB"/>
        </w:rPr>
        <w:t>N</w:t>
      </w:r>
      <w:r w:rsidRPr="00802C75">
        <w:rPr>
          <w:lang w:val="en-GB"/>
        </w:rPr>
        <w:t xml:space="preserve">otifiable </w:t>
      </w:r>
      <w:r w:rsidR="00BC46AC">
        <w:rPr>
          <w:lang w:val="en-GB"/>
        </w:rPr>
        <w:t>medical condition</w:t>
      </w:r>
      <w:r w:rsidRPr="00802C75">
        <w:rPr>
          <w:lang w:val="en-GB"/>
        </w:rPr>
        <w:t>.</w:t>
      </w:r>
    </w:p>
    <w:p w14:paraId="4967018F" w14:textId="77777777" w:rsidR="002059B5" w:rsidRPr="002059B5" w:rsidRDefault="002059B5" w:rsidP="00BC46AC">
      <w:pPr>
        <w:widowControl w:val="0"/>
        <w:rPr>
          <w:iCs/>
          <w:color w:val="auto"/>
          <w:sz w:val="10"/>
          <w:szCs w:val="16"/>
          <w:lang w:val="en-GB"/>
        </w:rPr>
      </w:pPr>
    </w:p>
    <w:p w14:paraId="11B2F80E" w14:textId="083D95CB" w:rsidR="00BC46AC" w:rsidRDefault="00BC46AC" w:rsidP="00BC46AC">
      <w:pPr>
        <w:widowControl w:val="0"/>
        <w:rPr>
          <w:iCs/>
          <w:color w:val="auto"/>
          <w:szCs w:val="16"/>
          <w:lang w:val="en-GB"/>
        </w:rPr>
      </w:pPr>
      <w:r w:rsidRPr="0040596D">
        <w:rPr>
          <w:iCs/>
          <w:color w:val="auto"/>
          <w:szCs w:val="16"/>
          <w:lang w:val="en-GB"/>
        </w:rPr>
        <w:t>See the Primary Health Care STG</w:t>
      </w:r>
      <w:r w:rsidR="003C0198">
        <w:rPr>
          <w:iCs/>
          <w:color w:val="auto"/>
          <w:szCs w:val="16"/>
          <w:lang w:val="en-GB"/>
        </w:rPr>
        <w:t>s</w:t>
      </w:r>
      <w:r w:rsidRPr="0040596D">
        <w:rPr>
          <w:iCs/>
          <w:color w:val="auto"/>
          <w:szCs w:val="16"/>
          <w:lang w:val="en-GB"/>
        </w:rPr>
        <w:t xml:space="preserve"> and EML - Section </w:t>
      </w:r>
      <w:r>
        <w:rPr>
          <w:iCs/>
          <w:color w:val="auto"/>
          <w:szCs w:val="16"/>
          <w:lang w:val="en-GB"/>
        </w:rPr>
        <w:t>10.7.1</w:t>
      </w:r>
      <w:r w:rsidRPr="0040596D">
        <w:rPr>
          <w:iCs/>
          <w:color w:val="auto"/>
          <w:szCs w:val="16"/>
          <w:lang w:val="en-GB"/>
        </w:rPr>
        <w:t xml:space="preserve">: </w:t>
      </w:r>
      <w:r>
        <w:rPr>
          <w:iCs/>
          <w:color w:val="auto"/>
          <w:szCs w:val="16"/>
          <w:lang w:val="en-GB"/>
        </w:rPr>
        <w:t>Malaria</w:t>
      </w:r>
      <w:r w:rsidR="00DA161B">
        <w:rPr>
          <w:iCs/>
          <w:color w:val="auto"/>
          <w:szCs w:val="16"/>
          <w:lang w:val="en-GB"/>
        </w:rPr>
        <w:t>, non-severe/</w:t>
      </w:r>
      <w:r>
        <w:rPr>
          <w:iCs/>
          <w:color w:val="auto"/>
          <w:szCs w:val="16"/>
          <w:lang w:val="en-GB"/>
        </w:rPr>
        <w:t>uncomplicated.</w:t>
      </w:r>
    </w:p>
    <w:p w14:paraId="3DA8325C" w14:textId="77777777" w:rsidR="00D90CE5" w:rsidRPr="0040596D" w:rsidRDefault="00D90CE5" w:rsidP="00BC46AC">
      <w:pPr>
        <w:widowControl w:val="0"/>
        <w:rPr>
          <w:iCs/>
          <w:color w:val="auto"/>
          <w:sz w:val="16"/>
          <w:szCs w:val="16"/>
          <w:lang w:val="en-GB"/>
        </w:rPr>
      </w:pPr>
    </w:p>
    <w:p w14:paraId="31500F83" w14:textId="77777777" w:rsidR="006D4FB6" w:rsidRPr="00802C75" w:rsidRDefault="006D4FB6" w:rsidP="006D4FB6">
      <w:pPr>
        <w:pStyle w:val="Heading2"/>
        <w:rPr>
          <w:sz w:val="22"/>
          <w:szCs w:val="22"/>
          <w:lang w:val="en-GB"/>
        </w:rPr>
      </w:pPr>
      <w:r w:rsidRPr="00802C75">
        <w:rPr>
          <w:sz w:val="22"/>
          <w:szCs w:val="22"/>
          <w:lang w:val="en-GB"/>
        </w:rPr>
        <w:t>9.</w:t>
      </w:r>
      <w:r w:rsidR="00234210">
        <w:rPr>
          <w:sz w:val="22"/>
          <w:szCs w:val="22"/>
          <w:lang w:val="en-GB"/>
        </w:rPr>
        <w:t>7</w:t>
      </w:r>
      <w:r w:rsidRPr="00802C75">
        <w:rPr>
          <w:sz w:val="22"/>
          <w:szCs w:val="22"/>
          <w:lang w:val="en-GB"/>
        </w:rPr>
        <w:t>.2 malaria, Severe</w:t>
      </w:r>
    </w:p>
    <w:p w14:paraId="676FD314" w14:textId="77777777" w:rsidR="006D4FB6" w:rsidRPr="00802C75" w:rsidRDefault="006D4FB6" w:rsidP="006D4FB6">
      <w:pPr>
        <w:pStyle w:val="ICD10heading"/>
        <w:rPr>
          <w:lang w:val="en-GB"/>
        </w:rPr>
      </w:pPr>
      <w:r w:rsidRPr="00802C75">
        <w:rPr>
          <w:lang w:val="en-GB"/>
        </w:rPr>
        <w:t>B50.0</w:t>
      </w:r>
      <w:r w:rsidR="0033323F">
        <w:rPr>
          <w:lang w:val="en-GB"/>
        </w:rPr>
        <w:t>/B50.8</w:t>
      </w:r>
    </w:p>
    <w:p w14:paraId="480192D6" w14:textId="09AA5D26" w:rsidR="006D4FB6" w:rsidRPr="00802C75" w:rsidRDefault="006D4FB6" w:rsidP="006D4FB6">
      <w:pPr>
        <w:rPr>
          <w:highlight w:val="yellow"/>
          <w:lang w:val="en-GB"/>
        </w:rPr>
      </w:pPr>
      <w:r w:rsidRPr="00802C75">
        <w:rPr>
          <w:lang w:val="en-GB"/>
        </w:rPr>
        <w:t>*</w:t>
      </w:r>
      <w:r w:rsidR="00D317FC">
        <w:rPr>
          <w:lang w:val="en-GB"/>
        </w:rPr>
        <w:t>Notifiable medical condition.</w:t>
      </w:r>
    </w:p>
    <w:p w14:paraId="7F6AFD25" w14:textId="77777777" w:rsidR="006D4FB6" w:rsidRPr="002059B5" w:rsidRDefault="006D4FB6" w:rsidP="006D4FB6">
      <w:pPr>
        <w:rPr>
          <w:sz w:val="10"/>
          <w:lang w:val="en-GB"/>
        </w:rPr>
      </w:pPr>
    </w:p>
    <w:p w14:paraId="6F713840" w14:textId="12E399D6" w:rsidR="00DA161B" w:rsidRPr="0040596D" w:rsidRDefault="00DA161B" w:rsidP="00DA161B">
      <w:pPr>
        <w:widowControl w:val="0"/>
        <w:rPr>
          <w:iCs/>
          <w:color w:val="auto"/>
          <w:sz w:val="16"/>
          <w:szCs w:val="16"/>
          <w:lang w:val="en-GB"/>
        </w:rPr>
      </w:pPr>
      <w:r w:rsidRPr="0040596D">
        <w:rPr>
          <w:iCs/>
          <w:color w:val="auto"/>
          <w:szCs w:val="16"/>
          <w:lang w:val="en-GB"/>
        </w:rPr>
        <w:t>See the Primary Health Care STG</w:t>
      </w:r>
      <w:r w:rsidR="003C0198">
        <w:rPr>
          <w:iCs/>
          <w:color w:val="auto"/>
          <w:szCs w:val="16"/>
          <w:lang w:val="en-GB"/>
        </w:rPr>
        <w:t>s</w:t>
      </w:r>
      <w:r w:rsidRPr="0040596D">
        <w:rPr>
          <w:iCs/>
          <w:color w:val="auto"/>
          <w:szCs w:val="16"/>
          <w:lang w:val="en-GB"/>
        </w:rPr>
        <w:t xml:space="preserve"> and EML - Section </w:t>
      </w:r>
      <w:r>
        <w:rPr>
          <w:iCs/>
          <w:color w:val="auto"/>
          <w:szCs w:val="16"/>
          <w:lang w:val="en-GB"/>
        </w:rPr>
        <w:t>10.7.2</w:t>
      </w:r>
      <w:r w:rsidRPr="0040596D">
        <w:rPr>
          <w:iCs/>
          <w:color w:val="auto"/>
          <w:szCs w:val="16"/>
          <w:lang w:val="en-GB"/>
        </w:rPr>
        <w:t xml:space="preserve">: </w:t>
      </w:r>
      <w:r>
        <w:rPr>
          <w:iCs/>
          <w:color w:val="auto"/>
          <w:szCs w:val="16"/>
          <w:lang w:val="en-GB"/>
        </w:rPr>
        <w:t>Malaria, severe/complicated.</w:t>
      </w:r>
    </w:p>
    <w:p w14:paraId="7D1126E4" w14:textId="77777777" w:rsidR="00736E24" w:rsidRPr="009B0ACC" w:rsidRDefault="00736E24" w:rsidP="006D4FB6">
      <w:pPr>
        <w:pStyle w:val="Heading3"/>
        <w:rPr>
          <w:b w:val="0"/>
          <w:sz w:val="16"/>
          <w:lang w:val="en-GB"/>
        </w:rPr>
      </w:pPr>
    </w:p>
    <w:p w14:paraId="160DF3DD" w14:textId="77777777" w:rsidR="006D4FB6" w:rsidRPr="00802C75" w:rsidRDefault="006D4FB6" w:rsidP="006D4FB6">
      <w:pPr>
        <w:pStyle w:val="Heading3"/>
        <w:rPr>
          <w:lang w:val="en-GB"/>
        </w:rPr>
      </w:pPr>
      <w:r w:rsidRPr="00802C75">
        <w:rPr>
          <w:lang w:val="en-GB"/>
        </w:rPr>
        <w:t>Description</w:t>
      </w:r>
    </w:p>
    <w:p w14:paraId="305122A7" w14:textId="77777777" w:rsidR="006D4FB6" w:rsidRPr="000F4108" w:rsidRDefault="006D4FB6" w:rsidP="006D4FB6">
      <w:pPr>
        <w:rPr>
          <w:color w:val="auto"/>
          <w:lang w:val="en-GB"/>
        </w:rPr>
      </w:pPr>
      <w:r w:rsidRPr="000F4108">
        <w:rPr>
          <w:i/>
          <w:color w:val="auto"/>
          <w:lang w:val="en-GB"/>
        </w:rPr>
        <w:t>P. falciparum</w:t>
      </w:r>
      <w:r w:rsidRPr="000F4108">
        <w:rPr>
          <w:color w:val="auto"/>
          <w:lang w:val="en-GB"/>
        </w:rPr>
        <w:t xml:space="preserve"> malaria with one or more of the following features:</w:t>
      </w:r>
    </w:p>
    <w:tbl>
      <w:tblPr>
        <w:tblW w:w="0" w:type="auto"/>
        <w:tblInd w:w="108" w:type="dxa"/>
        <w:tblLook w:val="0000" w:firstRow="0" w:lastRow="0" w:firstColumn="0" w:lastColumn="0" w:noHBand="0" w:noVBand="0"/>
      </w:tblPr>
      <w:tblGrid>
        <w:gridCol w:w="3431"/>
        <w:gridCol w:w="2575"/>
      </w:tblGrid>
      <w:tr w:rsidR="000F4108" w:rsidRPr="00D90CE5" w14:paraId="632D6A2C" w14:textId="77777777" w:rsidTr="00DA161B">
        <w:tc>
          <w:tcPr>
            <w:tcW w:w="3431" w:type="dxa"/>
          </w:tcPr>
          <w:p w14:paraId="33AB3171" w14:textId="59C99D2D" w:rsidR="006D4FB6" w:rsidRPr="00D90CE5" w:rsidRDefault="004415C6" w:rsidP="00DA161B">
            <w:pPr>
              <w:pStyle w:val="Textbullet"/>
              <w:ind w:left="201" w:hanging="201"/>
              <w:jc w:val="left"/>
              <w:rPr>
                <w:color w:val="auto"/>
                <w:sz w:val="16"/>
                <w:lang w:val="en-GB"/>
              </w:rPr>
            </w:pPr>
            <w:r w:rsidRPr="00D90CE5">
              <w:rPr>
                <w:color w:val="auto"/>
                <w:sz w:val="16"/>
                <w:lang w:val="en-GB"/>
              </w:rPr>
              <w:t>severe general body weakness (prostration)</w:t>
            </w:r>
          </w:p>
        </w:tc>
        <w:tc>
          <w:tcPr>
            <w:tcW w:w="2575" w:type="dxa"/>
          </w:tcPr>
          <w:p w14:paraId="49948E8C" w14:textId="6DFC459C" w:rsidR="006D4FB6" w:rsidRPr="00D90CE5" w:rsidRDefault="00DA161B" w:rsidP="00DA161B">
            <w:pPr>
              <w:pStyle w:val="Textbullet"/>
              <w:ind w:left="177" w:hanging="177"/>
              <w:jc w:val="left"/>
              <w:rPr>
                <w:color w:val="auto"/>
                <w:sz w:val="16"/>
                <w:lang w:val="en-GB"/>
              </w:rPr>
            </w:pPr>
            <w:r w:rsidRPr="00D90CE5">
              <w:rPr>
                <w:color w:val="auto"/>
                <w:sz w:val="16"/>
                <w:lang w:val="en-GB"/>
              </w:rPr>
              <w:t>abnormal bleeding (</w:t>
            </w:r>
            <w:proofErr w:type="spellStart"/>
            <w:r w:rsidRPr="00D90CE5">
              <w:rPr>
                <w:color w:val="auto"/>
                <w:sz w:val="16"/>
                <w:lang w:val="en-GB"/>
              </w:rPr>
              <w:t>e.g</w:t>
            </w:r>
            <w:proofErr w:type="spellEnd"/>
            <w:r w:rsidRPr="00D90CE5">
              <w:rPr>
                <w:color w:val="auto"/>
                <w:sz w:val="16"/>
                <w:lang w:val="en-GB"/>
              </w:rPr>
              <w:t xml:space="preserve"> epistaxis)</w:t>
            </w:r>
          </w:p>
        </w:tc>
      </w:tr>
      <w:tr w:rsidR="00DA161B" w:rsidRPr="00D90CE5" w14:paraId="0451A7D9" w14:textId="77777777" w:rsidTr="00DA161B">
        <w:tc>
          <w:tcPr>
            <w:tcW w:w="3431" w:type="dxa"/>
          </w:tcPr>
          <w:p w14:paraId="2E5922FA" w14:textId="61FE1088" w:rsidR="00DA161B" w:rsidRPr="00D90CE5" w:rsidRDefault="00DA161B" w:rsidP="00DA161B">
            <w:pPr>
              <w:pStyle w:val="Textbullet"/>
              <w:ind w:left="201" w:hanging="201"/>
              <w:jc w:val="left"/>
              <w:rPr>
                <w:color w:val="auto"/>
                <w:sz w:val="16"/>
                <w:lang w:val="en-GB"/>
              </w:rPr>
            </w:pPr>
            <w:r w:rsidRPr="00D90CE5">
              <w:rPr>
                <w:color w:val="auto"/>
                <w:sz w:val="16"/>
                <w:lang w:val="en-GB"/>
              </w:rPr>
              <w:t>impaired consciousness</w:t>
            </w:r>
          </w:p>
        </w:tc>
        <w:tc>
          <w:tcPr>
            <w:tcW w:w="2575" w:type="dxa"/>
          </w:tcPr>
          <w:p w14:paraId="2C9FAA36" w14:textId="357EF90F" w:rsidR="00DA161B" w:rsidRPr="00D90CE5" w:rsidRDefault="00DA161B" w:rsidP="00DA161B">
            <w:pPr>
              <w:pStyle w:val="Textbullet"/>
              <w:ind w:left="177" w:hanging="177"/>
              <w:jc w:val="left"/>
              <w:rPr>
                <w:color w:val="auto"/>
                <w:sz w:val="16"/>
                <w:lang w:val="en-GB"/>
              </w:rPr>
            </w:pPr>
            <w:r w:rsidRPr="00D90CE5">
              <w:rPr>
                <w:color w:val="auto"/>
                <w:sz w:val="16"/>
                <w:lang w:val="en-GB"/>
              </w:rPr>
              <w:t>convulsions</w:t>
            </w:r>
          </w:p>
        </w:tc>
      </w:tr>
      <w:tr w:rsidR="000F4108" w:rsidRPr="00D90CE5" w14:paraId="7FDEF7AC" w14:textId="77777777" w:rsidTr="00DA161B">
        <w:tc>
          <w:tcPr>
            <w:tcW w:w="3431" w:type="dxa"/>
          </w:tcPr>
          <w:p w14:paraId="604F079A" w14:textId="3225DF4D" w:rsidR="006D4FB6" w:rsidRPr="00D90CE5" w:rsidRDefault="00DA161B" w:rsidP="00DA161B">
            <w:pPr>
              <w:pStyle w:val="Textbullet"/>
              <w:ind w:left="201" w:hanging="201"/>
              <w:jc w:val="left"/>
              <w:rPr>
                <w:color w:val="auto"/>
                <w:sz w:val="16"/>
                <w:lang w:val="en-GB"/>
              </w:rPr>
            </w:pPr>
            <w:r w:rsidRPr="00D90CE5">
              <w:rPr>
                <w:color w:val="auto"/>
                <w:sz w:val="16"/>
                <w:lang w:val="en-GB"/>
              </w:rPr>
              <w:t>renal dysfunction</w:t>
            </w:r>
          </w:p>
        </w:tc>
        <w:tc>
          <w:tcPr>
            <w:tcW w:w="2575" w:type="dxa"/>
          </w:tcPr>
          <w:p w14:paraId="52E3952E" w14:textId="26838B77" w:rsidR="006D4FB6" w:rsidRPr="00D90CE5" w:rsidRDefault="006D4FB6" w:rsidP="00DA161B">
            <w:pPr>
              <w:pStyle w:val="Textbullet"/>
              <w:ind w:left="177" w:hanging="177"/>
              <w:jc w:val="left"/>
              <w:rPr>
                <w:color w:val="auto"/>
                <w:sz w:val="16"/>
                <w:lang w:val="en-GB"/>
              </w:rPr>
            </w:pPr>
            <w:r w:rsidRPr="00D90CE5">
              <w:rPr>
                <w:color w:val="auto"/>
                <w:sz w:val="16"/>
                <w:lang w:val="en-GB"/>
              </w:rPr>
              <w:t>heavy parasitaemia (</w:t>
            </w:r>
            <w:r w:rsidRPr="00D90CE5">
              <w:rPr>
                <w:color w:val="auto"/>
                <w:sz w:val="16"/>
                <w:lang w:val="en-GB"/>
              </w:rPr>
              <w:sym w:font="Symbol" w:char="F0B3"/>
            </w:r>
            <w:r w:rsidRPr="00D90CE5">
              <w:rPr>
                <w:color w:val="auto"/>
                <w:sz w:val="16"/>
                <w:lang w:val="en-GB"/>
              </w:rPr>
              <w:t>5%)</w:t>
            </w:r>
          </w:p>
        </w:tc>
      </w:tr>
      <w:tr w:rsidR="000F4108" w:rsidRPr="00D90CE5" w14:paraId="7761A2A4" w14:textId="77777777" w:rsidTr="00DA161B">
        <w:tc>
          <w:tcPr>
            <w:tcW w:w="3431" w:type="dxa"/>
          </w:tcPr>
          <w:p w14:paraId="27D08C41" w14:textId="778E768D" w:rsidR="004415C6" w:rsidRPr="00D90CE5" w:rsidRDefault="004415C6" w:rsidP="00DA161B">
            <w:pPr>
              <w:pStyle w:val="Textbullet"/>
              <w:ind w:left="201" w:hanging="201"/>
              <w:jc w:val="left"/>
              <w:rPr>
                <w:color w:val="auto"/>
                <w:sz w:val="16"/>
                <w:lang w:val="en-GB"/>
              </w:rPr>
            </w:pPr>
            <w:r w:rsidRPr="00D90CE5">
              <w:rPr>
                <w:color w:val="auto"/>
                <w:sz w:val="16"/>
                <w:lang w:val="en-GB"/>
              </w:rPr>
              <w:t xml:space="preserve">repeated </w:t>
            </w:r>
            <w:r w:rsidR="006D4FB6" w:rsidRPr="00D90CE5">
              <w:rPr>
                <w:color w:val="auto"/>
                <w:sz w:val="16"/>
                <w:lang w:val="en-GB"/>
              </w:rPr>
              <w:t>vomiting</w:t>
            </w:r>
          </w:p>
        </w:tc>
        <w:tc>
          <w:tcPr>
            <w:tcW w:w="2575" w:type="dxa"/>
          </w:tcPr>
          <w:p w14:paraId="06A15C61" w14:textId="77777777" w:rsidR="006D4FB6" w:rsidRPr="00D90CE5" w:rsidRDefault="006D4FB6" w:rsidP="00DA161B">
            <w:pPr>
              <w:pStyle w:val="Textbullet"/>
              <w:ind w:left="177" w:hanging="177"/>
              <w:jc w:val="left"/>
              <w:rPr>
                <w:color w:val="auto"/>
                <w:sz w:val="16"/>
                <w:lang w:val="en-GB"/>
              </w:rPr>
            </w:pPr>
            <w:r w:rsidRPr="00D90CE5">
              <w:rPr>
                <w:color w:val="auto"/>
                <w:sz w:val="16"/>
                <w:lang w:val="en-GB"/>
              </w:rPr>
              <w:t>ARDS</w:t>
            </w:r>
          </w:p>
        </w:tc>
      </w:tr>
      <w:tr w:rsidR="00DA161B" w:rsidRPr="00D90CE5" w14:paraId="4C9C59B0" w14:textId="77777777" w:rsidTr="00DA161B">
        <w:tc>
          <w:tcPr>
            <w:tcW w:w="3431" w:type="dxa"/>
          </w:tcPr>
          <w:p w14:paraId="4E509202" w14:textId="43634538" w:rsidR="00DA161B" w:rsidRPr="00D90CE5" w:rsidRDefault="00DA161B" w:rsidP="00DA161B">
            <w:pPr>
              <w:pStyle w:val="Textbullet"/>
              <w:ind w:left="201" w:hanging="201"/>
              <w:jc w:val="left"/>
              <w:rPr>
                <w:color w:val="auto"/>
                <w:sz w:val="16"/>
                <w:lang w:val="en-GB"/>
              </w:rPr>
            </w:pPr>
            <w:r w:rsidRPr="00D90CE5">
              <w:rPr>
                <w:color w:val="auto"/>
                <w:sz w:val="16"/>
                <w:lang w:val="en-GB"/>
              </w:rPr>
              <w:t>severe diarrhoea</w:t>
            </w:r>
          </w:p>
        </w:tc>
        <w:tc>
          <w:tcPr>
            <w:tcW w:w="2575" w:type="dxa"/>
          </w:tcPr>
          <w:p w14:paraId="03FE44A6" w14:textId="0E76C86D" w:rsidR="00DA161B" w:rsidRPr="00D90CE5" w:rsidRDefault="00DA161B" w:rsidP="00DA161B">
            <w:pPr>
              <w:pStyle w:val="Textbullet"/>
              <w:ind w:left="177" w:hanging="177"/>
              <w:jc w:val="left"/>
              <w:rPr>
                <w:color w:val="auto"/>
                <w:sz w:val="16"/>
                <w:lang w:val="en-GB"/>
              </w:rPr>
            </w:pPr>
            <w:r w:rsidRPr="00D90CE5">
              <w:rPr>
                <w:color w:val="auto"/>
                <w:sz w:val="16"/>
                <w:lang w:val="en-GB"/>
              </w:rPr>
              <w:t>shock</w:t>
            </w:r>
            <w:r w:rsidRPr="00D90CE5" w:rsidDel="00DA161B">
              <w:rPr>
                <w:color w:val="auto"/>
                <w:sz w:val="16"/>
                <w:lang w:val="en-GB"/>
              </w:rPr>
              <w:t xml:space="preserve"> </w:t>
            </w:r>
          </w:p>
        </w:tc>
      </w:tr>
      <w:tr w:rsidR="000F4108" w:rsidRPr="00D90CE5" w14:paraId="0E96FEB3" w14:textId="77777777" w:rsidTr="00DA161B">
        <w:tc>
          <w:tcPr>
            <w:tcW w:w="3431" w:type="dxa"/>
          </w:tcPr>
          <w:p w14:paraId="77A970A0" w14:textId="278C394D" w:rsidR="006D4FB6" w:rsidRPr="00D90CE5" w:rsidRDefault="006D4FB6" w:rsidP="00DA161B">
            <w:pPr>
              <w:pStyle w:val="Textbullet"/>
              <w:ind w:left="201" w:hanging="201"/>
              <w:jc w:val="left"/>
              <w:rPr>
                <w:color w:val="auto"/>
                <w:sz w:val="16"/>
                <w:lang w:val="en-GB"/>
              </w:rPr>
            </w:pPr>
            <w:r w:rsidRPr="00D90CE5">
              <w:rPr>
                <w:color w:val="auto"/>
                <w:sz w:val="16"/>
                <w:lang w:val="en-GB"/>
              </w:rPr>
              <w:t>severe anaemia (Hb &lt;6 g/dL)</w:t>
            </w:r>
          </w:p>
        </w:tc>
        <w:tc>
          <w:tcPr>
            <w:tcW w:w="2575" w:type="dxa"/>
          </w:tcPr>
          <w:p w14:paraId="3A529E7D" w14:textId="7DF3B591" w:rsidR="006D4FB6" w:rsidRPr="00D90CE5" w:rsidRDefault="00DA161B" w:rsidP="00DA161B">
            <w:pPr>
              <w:pStyle w:val="Textbullet"/>
              <w:ind w:left="177" w:hanging="177"/>
              <w:jc w:val="left"/>
              <w:rPr>
                <w:color w:val="auto"/>
                <w:sz w:val="16"/>
                <w:lang w:val="en-GB"/>
              </w:rPr>
            </w:pPr>
            <w:r w:rsidRPr="00D90CE5">
              <w:rPr>
                <w:color w:val="auto"/>
                <w:sz w:val="16"/>
                <w:lang w:val="en-GB"/>
              </w:rPr>
              <w:t>hypoglycaemia</w:t>
            </w:r>
            <w:r w:rsidRPr="00D90CE5" w:rsidDel="00DA161B">
              <w:rPr>
                <w:color w:val="auto"/>
                <w:sz w:val="16"/>
                <w:lang w:val="en-GB"/>
              </w:rPr>
              <w:t xml:space="preserve"> </w:t>
            </w:r>
          </w:p>
        </w:tc>
      </w:tr>
      <w:tr w:rsidR="000F4108" w:rsidRPr="00D90CE5" w14:paraId="40E08D2D" w14:textId="77777777" w:rsidTr="00DA161B">
        <w:tc>
          <w:tcPr>
            <w:tcW w:w="3431" w:type="dxa"/>
          </w:tcPr>
          <w:p w14:paraId="51B5D1F9" w14:textId="77777777" w:rsidR="006D4FB6" w:rsidRPr="00D90CE5" w:rsidRDefault="006D4FB6" w:rsidP="00DA161B">
            <w:pPr>
              <w:pStyle w:val="Textbullet"/>
              <w:ind w:left="201" w:hanging="201"/>
              <w:jc w:val="left"/>
              <w:rPr>
                <w:color w:val="auto"/>
                <w:sz w:val="16"/>
                <w:lang w:val="en-GB"/>
              </w:rPr>
            </w:pPr>
            <w:r w:rsidRPr="00D90CE5">
              <w:rPr>
                <w:color w:val="auto"/>
                <w:sz w:val="16"/>
                <w:lang w:val="en-GB"/>
              </w:rPr>
              <w:t>haemoglobinuria</w:t>
            </w:r>
          </w:p>
        </w:tc>
        <w:tc>
          <w:tcPr>
            <w:tcW w:w="2575" w:type="dxa"/>
          </w:tcPr>
          <w:p w14:paraId="47451918" w14:textId="09896FD1" w:rsidR="006D4FB6" w:rsidRPr="00D90CE5" w:rsidRDefault="00DA161B" w:rsidP="00DA161B">
            <w:pPr>
              <w:pStyle w:val="Textbullet"/>
              <w:ind w:left="177" w:hanging="177"/>
              <w:jc w:val="left"/>
              <w:rPr>
                <w:color w:val="auto"/>
                <w:sz w:val="16"/>
                <w:lang w:val="en-GB"/>
              </w:rPr>
            </w:pPr>
            <w:r w:rsidRPr="00D90CE5">
              <w:rPr>
                <w:color w:val="auto"/>
                <w:sz w:val="16"/>
                <w:lang w:val="en-GB"/>
              </w:rPr>
              <w:t>clinical jaundice</w:t>
            </w:r>
            <w:r w:rsidRPr="00D90CE5" w:rsidDel="00DA161B">
              <w:rPr>
                <w:color w:val="auto"/>
                <w:sz w:val="16"/>
                <w:lang w:val="en-GB"/>
              </w:rPr>
              <w:t xml:space="preserve"> </w:t>
            </w:r>
          </w:p>
        </w:tc>
      </w:tr>
      <w:tr w:rsidR="000F4108" w:rsidRPr="00D90CE5" w14:paraId="6AB01899" w14:textId="77777777" w:rsidTr="00DA161B">
        <w:tc>
          <w:tcPr>
            <w:tcW w:w="3431" w:type="dxa"/>
          </w:tcPr>
          <w:p w14:paraId="0194E0ED" w14:textId="20EE3C41" w:rsidR="006D4FB6" w:rsidRPr="00D90CE5" w:rsidRDefault="00122016" w:rsidP="00DA161B">
            <w:pPr>
              <w:pStyle w:val="Textbullet"/>
              <w:ind w:left="201" w:hanging="201"/>
              <w:jc w:val="left"/>
              <w:rPr>
                <w:color w:val="auto"/>
                <w:sz w:val="16"/>
                <w:lang w:val="en-GB"/>
              </w:rPr>
            </w:pPr>
            <w:r w:rsidRPr="00D90CE5">
              <w:rPr>
                <w:color w:val="auto"/>
                <w:sz w:val="16"/>
                <w:lang w:val="en-GB"/>
              </w:rPr>
              <w:t>acidosis (plasma bicarb</w:t>
            </w:r>
            <w:r w:rsidR="00DA161B" w:rsidRPr="00D90CE5">
              <w:rPr>
                <w:color w:val="auto"/>
                <w:sz w:val="16"/>
                <w:lang w:val="en-GB"/>
              </w:rPr>
              <w:t xml:space="preserve"> </w:t>
            </w:r>
            <w:r w:rsidRPr="00D90CE5">
              <w:rPr>
                <w:color w:val="auto"/>
                <w:sz w:val="16"/>
                <w:lang w:val="en-GB"/>
              </w:rPr>
              <w:t>&lt;15 mmol/L)</w:t>
            </w:r>
          </w:p>
        </w:tc>
        <w:tc>
          <w:tcPr>
            <w:tcW w:w="2575" w:type="dxa"/>
          </w:tcPr>
          <w:p w14:paraId="478594F3" w14:textId="78936D61" w:rsidR="004415C6" w:rsidRPr="00D90CE5" w:rsidRDefault="004415C6" w:rsidP="00DA161B">
            <w:pPr>
              <w:pStyle w:val="Textbullet"/>
              <w:numPr>
                <w:ilvl w:val="0"/>
                <w:numId w:val="0"/>
              </w:numPr>
              <w:ind w:left="360" w:hanging="360"/>
              <w:rPr>
                <w:color w:val="auto"/>
                <w:sz w:val="16"/>
                <w:lang w:val="en-GB"/>
              </w:rPr>
            </w:pPr>
          </w:p>
        </w:tc>
      </w:tr>
    </w:tbl>
    <w:p w14:paraId="00ACA796" w14:textId="77777777" w:rsidR="008425CB" w:rsidRPr="00EC137A" w:rsidRDefault="008425CB" w:rsidP="0040399C">
      <w:pPr>
        <w:pStyle w:val="Heading3"/>
        <w:keepNext w:val="0"/>
        <w:rPr>
          <w:b w:val="0"/>
          <w:sz w:val="16"/>
        </w:rPr>
      </w:pPr>
    </w:p>
    <w:p w14:paraId="7AA5DE96" w14:textId="77777777" w:rsidR="006D4FB6" w:rsidRPr="00802C75" w:rsidRDefault="006D4FB6" w:rsidP="0040399C">
      <w:pPr>
        <w:pStyle w:val="Heading3"/>
        <w:keepNext w:val="0"/>
        <w:rPr>
          <w:lang w:val="en-GB"/>
        </w:rPr>
      </w:pPr>
      <w:r w:rsidRPr="00802C75">
        <w:rPr>
          <w:lang w:val="en-GB"/>
        </w:rPr>
        <w:t>General measures</w:t>
      </w:r>
    </w:p>
    <w:p w14:paraId="48590A11" w14:textId="77777777" w:rsidR="006D4FB6" w:rsidRPr="00802C75" w:rsidRDefault="006D4FB6" w:rsidP="008425CB">
      <w:pPr>
        <w:widowControl w:val="0"/>
        <w:rPr>
          <w:lang w:val="en-GB"/>
        </w:rPr>
      </w:pPr>
      <w:r w:rsidRPr="00802C75">
        <w:rPr>
          <w:lang w:val="en-GB"/>
        </w:rPr>
        <w:t xml:space="preserve">Maintain hydration but avoid excessive fluid administration as this could </w:t>
      </w:r>
      <w:r w:rsidRPr="00802C75">
        <w:rPr>
          <w:lang w:val="en-GB"/>
        </w:rPr>
        <w:lastRenderedPageBreak/>
        <w:t>contribute to the development of ARDS (especially in pregnancy).</w:t>
      </w:r>
    </w:p>
    <w:p w14:paraId="1AE41102" w14:textId="77777777" w:rsidR="006D4FB6" w:rsidRPr="00802C75" w:rsidRDefault="006D4FB6" w:rsidP="008425CB">
      <w:pPr>
        <w:widowControl w:val="0"/>
        <w:rPr>
          <w:lang w:val="en-GB"/>
        </w:rPr>
      </w:pPr>
      <w:r w:rsidRPr="00802C75">
        <w:rPr>
          <w:lang w:val="en-GB"/>
        </w:rPr>
        <w:t>Transfuse if haemoglobin &lt;6 g/dL.</w:t>
      </w:r>
    </w:p>
    <w:p w14:paraId="3A6D439B" w14:textId="66A90646" w:rsidR="006D4FB6" w:rsidRPr="00802C75" w:rsidRDefault="006D4FB6" w:rsidP="008425CB">
      <w:pPr>
        <w:widowControl w:val="0"/>
        <w:rPr>
          <w:lang w:val="en-GB"/>
        </w:rPr>
      </w:pPr>
      <w:r w:rsidRPr="00802C75">
        <w:rPr>
          <w:lang w:val="en-GB"/>
        </w:rPr>
        <w:t xml:space="preserve">There is no convincing evidence of benefit </w:t>
      </w:r>
      <w:r w:rsidR="0039680A">
        <w:rPr>
          <w:lang w:val="en-GB"/>
        </w:rPr>
        <w:t>for</w:t>
      </w:r>
      <w:r w:rsidR="006A50F7">
        <w:rPr>
          <w:lang w:val="en-GB"/>
        </w:rPr>
        <w:t xml:space="preserve"> </w:t>
      </w:r>
      <w:r w:rsidRPr="00802C75">
        <w:rPr>
          <w:lang w:val="en-GB"/>
        </w:rPr>
        <w:t>the use of exchange transfusion.</w:t>
      </w:r>
    </w:p>
    <w:p w14:paraId="59F61C02" w14:textId="77777777" w:rsidR="006D4FB6" w:rsidRPr="00802C75" w:rsidRDefault="006D4FB6" w:rsidP="006D4FB6">
      <w:pPr>
        <w:pStyle w:val="Heading3"/>
        <w:rPr>
          <w:lang w:val="en-GB"/>
        </w:rPr>
      </w:pPr>
      <w:r w:rsidRPr="00802C75">
        <w:rPr>
          <w:lang w:val="en-GB"/>
        </w:rPr>
        <w:t>Medicine treatment</w:t>
      </w:r>
    </w:p>
    <w:p w14:paraId="519D6A3E" w14:textId="77777777" w:rsidR="008915E7" w:rsidRPr="00802C75" w:rsidRDefault="008915E7" w:rsidP="008915E7">
      <w:pPr>
        <w:rPr>
          <w:u w:val="single"/>
          <w:lang w:val="en-GB"/>
        </w:rPr>
      </w:pPr>
      <w:r w:rsidRPr="00802C75">
        <w:rPr>
          <w:u w:val="single"/>
          <w:lang w:val="en-GB"/>
        </w:rPr>
        <w:t>Intravenous therapy:</w:t>
      </w:r>
    </w:p>
    <w:p w14:paraId="1F01AD7C" w14:textId="77777777" w:rsidR="00D431A6" w:rsidRPr="00802C75" w:rsidRDefault="00D431A6" w:rsidP="00D431A6">
      <w:pPr>
        <w:rPr>
          <w:b/>
          <w:bCs/>
          <w:lang w:val="en-GB"/>
        </w:rPr>
      </w:pPr>
      <w:r w:rsidRPr="00802C75">
        <w:rPr>
          <w:b/>
          <w:bCs/>
          <w:lang w:val="en-GB"/>
        </w:rPr>
        <w:t>The preferred agent is parenteral artesunate:</w:t>
      </w:r>
    </w:p>
    <w:p w14:paraId="1E69232C" w14:textId="77777777" w:rsidR="005007A3" w:rsidRPr="00802C75" w:rsidRDefault="005007A3" w:rsidP="002059B5">
      <w:pPr>
        <w:pStyle w:val="Medicinebullet1"/>
        <w:numPr>
          <w:ilvl w:val="0"/>
          <w:numId w:val="3"/>
        </w:numPr>
        <w:ind w:left="284" w:hanging="284"/>
        <w:rPr>
          <w:bCs/>
          <w:lang w:val="en-GB"/>
        </w:rPr>
      </w:pPr>
      <w:r w:rsidRPr="00802C75">
        <w:rPr>
          <w:lang w:val="en-GB"/>
        </w:rPr>
        <w:t>Artesunate IV, 2.4 mg/kg at 0, 12 and 24 hours; then daily until patient is able to tolerate oral therapy.</w:t>
      </w:r>
    </w:p>
    <w:p w14:paraId="42772082" w14:textId="2A9985F4" w:rsidR="00FE5598" w:rsidRPr="00802C75" w:rsidRDefault="005007A3" w:rsidP="002059B5">
      <w:pPr>
        <w:numPr>
          <w:ilvl w:val="0"/>
          <w:numId w:val="7"/>
        </w:numPr>
        <w:tabs>
          <w:tab w:val="clear" w:pos="2694"/>
          <w:tab w:val="clear" w:pos="2977"/>
        </w:tabs>
        <w:ind w:left="567" w:hanging="283"/>
        <w:rPr>
          <w:bCs/>
          <w:sz w:val="10"/>
          <w:szCs w:val="10"/>
          <w:lang w:val="en-GB"/>
        </w:rPr>
      </w:pPr>
      <w:r w:rsidRPr="00802C75">
        <w:rPr>
          <w:lang w:val="en-GB"/>
        </w:rPr>
        <w:t>Administer at least 3 IV doses before switching to oral artemether/lumefantrine</w:t>
      </w:r>
      <w:r w:rsidR="000F4108">
        <w:rPr>
          <w:lang w:val="en-GB"/>
        </w:rPr>
        <w:t>.</w:t>
      </w:r>
    </w:p>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
      </w:tblGrid>
      <w:tr w:rsidR="00FE5598" w:rsidRPr="00AE506D" w14:paraId="426C77AE" w14:textId="77777777" w:rsidTr="00CB690F">
        <w:tc>
          <w:tcPr>
            <w:tcW w:w="1134" w:type="dxa"/>
            <w:shd w:val="clear" w:color="auto" w:fill="auto"/>
          </w:tcPr>
          <w:p w14:paraId="6F26E6AD" w14:textId="0FE2223C" w:rsidR="00FE5598" w:rsidRPr="00AE506D" w:rsidRDefault="00FE5598" w:rsidP="00CB690F">
            <w:pPr>
              <w:jc w:val="right"/>
              <w:rPr>
                <w:b/>
                <w:i/>
                <w:sz w:val="16"/>
              </w:rPr>
            </w:pPr>
            <w:proofErr w:type="spellStart"/>
            <w:r w:rsidRPr="00AE506D">
              <w:rPr>
                <w:i/>
                <w:sz w:val="16"/>
              </w:rPr>
              <w:t>LoE:I</w:t>
            </w:r>
            <w:r w:rsidR="00C728E1">
              <w:rPr>
                <w:i/>
                <w:sz w:val="16"/>
              </w:rPr>
              <w:t>a</w:t>
            </w:r>
            <w:proofErr w:type="spellEnd"/>
            <w:r w:rsidRPr="00AE506D">
              <w:rPr>
                <w:i/>
                <w:sz w:val="16"/>
                <w:vertAlign w:val="superscript"/>
              </w:rPr>
              <w:endnoteReference w:id="27"/>
            </w:r>
          </w:p>
        </w:tc>
      </w:tr>
    </w:tbl>
    <w:p w14:paraId="5638195D" w14:textId="77777777" w:rsidR="00D431A6" w:rsidRPr="00690E6D" w:rsidRDefault="00D431A6" w:rsidP="00FE5598">
      <w:pPr>
        <w:tabs>
          <w:tab w:val="clear" w:pos="2694"/>
          <w:tab w:val="clear" w:pos="2977"/>
        </w:tabs>
        <w:ind w:left="709"/>
        <w:jc w:val="left"/>
        <w:rPr>
          <w:bCs/>
          <w:sz w:val="14"/>
          <w:szCs w:val="14"/>
          <w:lang w:val="en-GB"/>
        </w:rPr>
      </w:pPr>
    </w:p>
    <w:p w14:paraId="64D84C6D" w14:textId="77777777" w:rsidR="006D4FB6" w:rsidRPr="00802C75" w:rsidRDefault="006D4FB6" w:rsidP="006D4FB6">
      <w:pPr>
        <w:rPr>
          <w:u w:val="single"/>
          <w:lang w:val="en-GB"/>
        </w:rPr>
      </w:pPr>
      <w:r w:rsidRPr="00802C75">
        <w:rPr>
          <w:u w:val="single"/>
          <w:lang w:val="en-GB"/>
        </w:rPr>
        <w:t xml:space="preserve">Follow </w:t>
      </w:r>
      <w:r w:rsidR="008915E7" w:rsidRPr="00802C75">
        <w:rPr>
          <w:u w:val="single"/>
          <w:lang w:val="en-GB"/>
        </w:rPr>
        <w:t xml:space="preserve">intravenous therapy </w:t>
      </w:r>
      <w:r w:rsidRPr="00802C75">
        <w:rPr>
          <w:u w:val="single"/>
          <w:lang w:val="en-GB"/>
        </w:rPr>
        <w:t>with</w:t>
      </w:r>
      <w:r w:rsidR="008915E7" w:rsidRPr="00802C75">
        <w:rPr>
          <w:u w:val="single"/>
          <w:lang w:val="en-GB"/>
        </w:rPr>
        <w:t xml:space="preserve"> oral therapy</w:t>
      </w:r>
      <w:r w:rsidRPr="00802C75">
        <w:rPr>
          <w:u w:val="single"/>
          <w:lang w:val="en-GB"/>
        </w:rPr>
        <w:t xml:space="preserve">: </w:t>
      </w:r>
    </w:p>
    <w:p w14:paraId="58F8E536" w14:textId="77777777" w:rsidR="006D4FB6" w:rsidRPr="00802C75" w:rsidRDefault="006D4FB6" w:rsidP="002059B5">
      <w:pPr>
        <w:pStyle w:val="Medicinebullet1"/>
        <w:numPr>
          <w:ilvl w:val="0"/>
          <w:numId w:val="3"/>
        </w:numPr>
        <w:ind w:left="284" w:hanging="284"/>
        <w:rPr>
          <w:rFonts w:cs="Arial"/>
          <w:lang w:val="en-GB"/>
        </w:rPr>
      </w:pPr>
      <w:r w:rsidRPr="00802C75">
        <w:rPr>
          <w:rFonts w:cs="Arial"/>
          <w:lang w:val="en-GB"/>
        </w:rPr>
        <w:t xml:space="preserve">Artemether/lumefantrine 20/120 mg, oral, 4 tablets/dose with fat-containing food or full cream milk to ensure adequate absorption. </w:t>
      </w:r>
    </w:p>
    <w:p w14:paraId="5F7E2CDF" w14:textId="77777777" w:rsidR="006D4FB6" w:rsidRPr="00802C75" w:rsidRDefault="006D4FB6" w:rsidP="002059B5">
      <w:pPr>
        <w:numPr>
          <w:ilvl w:val="0"/>
          <w:numId w:val="7"/>
        </w:numPr>
        <w:tabs>
          <w:tab w:val="clear" w:pos="2694"/>
          <w:tab w:val="clear" w:pos="2977"/>
        </w:tabs>
        <w:ind w:left="567" w:hanging="283"/>
        <w:rPr>
          <w:lang w:val="en-GB"/>
        </w:rPr>
      </w:pPr>
      <w:r w:rsidRPr="00802C75">
        <w:rPr>
          <w:lang w:val="en-GB"/>
        </w:rPr>
        <w:t>Give the first dose immediately.</w:t>
      </w:r>
    </w:p>
    <w:p w14:paraId="068C4234" w14:textId="77777777" w:rsidR="006D4FB6" w:rsidRPr="00802C75" w:rsidRDefault="006D4FB6" w:rsidP="002059B5">
      <w:pPr>
        <w:numPr>
          <w:ilvl w:val="0"/>
          <w:numId w:val="7"/>
        </w:numPr>
        <w:tabs>
          <w:tab w:val="clear" w:pos="2694"/>
          <w:tab w:val="clear" w:pos="2977"/>
        </w:tabs>
        <w:ind w:left="567" w:hanging="283"/>
        <w:rPr>
          <w:lang w:val="en-GB"/>
        </w:rPr>
      </w:pPr>
      <w:r w:rsidRPr="00802C75">
        <w:rPr>
          <w:lang w:val="en-GB"/>
        </w:rPr>
        <w:t>Give the second dose 8 hours later.</w:t>
      </w:r>
    </w:p>
    <w:p w14:paraId="4DD47A8A" w14:textId="4DB1401A" w:rsidR="006D4FB6" w:rsidRPr="00802C75" w:rsidRDefault="006D4FB6" w:rsidP="002059B5">
      <w:pPr>
        <w:numPr>
          <w:ilvl w:val="0"/>
          <w:numId w:val="7"/>
        </w:numPr>
        <w:tabs>
          <w:tab w:val="clear" w:pos="2694"/>
          <w:tab w:val="clear" w:pos="2977"/>
        </w:tabs>
        <w:ind w:left="567" w:hanging="283"/>
        <w:rPr>
          <w:lang w:val="en-GB"/>
        </w:rPr>
      </w:pPr>
      <w:r w:rsidRPr="00802C75">
        <w:rPr>
          <w:lang w:val="en-GB"/>
        </w:rPr>
        <w:t>Then 12 hourly for another 2 days. (Total number of doses in 3 days = 6</w:t>
      </w:r>
      <w:r w:rsidR="00942AEF">
        <w:rPr>
          <w:lang w:val="en-GB"/>
        </w:rPr>
        <w:t xml:space="preserve"> </w:t>
      </w:r>
      <w:proofErr w:type="gramStart"/>
      <w:r w:rsidR="00942AEF">
        <w:rPr>
          <w:lang w:val="en-GB"/>
        </w:rPr>
        <w:t>doses</w:t>
      </w:r>
      <w:r w:rsidR="00D431A6" w:rsidRPr="00802C75">
        <w:rPr>
          <w:lang w:val="en-GB"/>
        </w:rPr>
        <w:t>;</w:t>
      </w:r>
      <w:proofErr w:type="gramEnd"/>
      <w:r w:rsidR="00D431A6" w:rsidRPr="00802C75">
        <w:rPr>
          <w:lang w:val="en-GB"/>
        </w:rPr>
        <w:t xml:space="preserve"> i.e. 24 tablets</w:t>
      </w:r>
      <w:r w:rsidRPr="00802C75">
        <w:rPr>
          <w:lang w:val="en-GB"/>
        </w:rPr>
        <w:t>)</w:t>
      </w:r>
      <w:r w:rsidR="00D431A6" w:rsidRPr="00802C75">
        <w:rPr>
          <w:lang w:val="en-GB"/>
        </w:rPr>
        <w:t>.</w:t>
      </w:r>
    </w:p>
    <w:p w14:paraId="6B6DDC11" w14:textId="77777777" w:rsidR="00CD0CDD" w:rsidRPr="00690E6D" w:rsidRDefault="00CD0CDD" w:rsidP="00CD0CDD">
      <w:pPr>
        <w:tabs>
          <w:tab w:val="clear" w:pos="2694"/>
          <w:tab w:val="clear" w:pos="2977"/>
        </w:tabs>
        <w:ind w:left="709"/>
        <w:jc w:val="left"/>
        <w:rPr>
          <w:sz w:val="4"/>
          <w:szCs w:val="12"/>
          <w:lang w:val="en-GB"/>
        </w:rPr>
      </w:pPr>
    </w:p>
    <w:p w14:paraId="70A07381" w14:textId="77777777" w:rsidR="006D4FB6" w:rsidRPr="00802C75" w:rsidRDefault="006D4FB6" w:rsidP="006D4FB6">
      <w:pPr>
        <w:rPr>
          <w:lang w:val="en-GB"/>
        </w:rPr>
      </w:pPr>
      <w:r w:rsidRPr="00802C75">
        <w:rPr>
          <w:lang w:val="en-GB"/>
        </w:rPr>
        <w:t>Monitor treatment response with regular blood smears.</w:t>
      </w:r>
    </w:p>
    <w:p w14:paraId="567C1B77" w14:textId="77777777" w:rsidR="006D4FB6" w:rsidRPr="00802C75" w:rsidRDefault="006D4FB6" w:rsidP="006D4FB6">
      <w:pPr>
        <w:rPr>
          <w:lang w:val="en-GB"/>
        </w:rPr>
      </w:pPr>
      <w:r w:rsidRPr="00802C75">
        <w:rPr>
          <w:lang w:val="en-GB"/>
        </w:rPr>
        <w:t>An increase in parasitaemia may occur within 24 hours due to release of sequestrated parasites</w:t>
      </w:r>
      <w:r w:rsidR="00F77E7A">
        <w:rPr>
          <w:lang w:val="en-GB"/>
        </w:rPr>
        <w:t>,</w:t>
      </w:r>
      <w:r w:rsidRPr="00802C75">
        <w:rPr>
          <w:lang w:val="en-GB"/>
        </w:rPr>
        <w:t xml:space="preserve"> but a reduction should be seen after 48 hours.</w:t>
      </w:r>
    </w:p>
    <w:p w14:paraId="72368AF4" w14:textId="77777777" w:rsidR="006D4FB6" w:rsidRPr="00802C75" w:rsidRDefault="006D4FB6" w:rsidP="006D4FB6">
      <w:pPr>
        <w:rPr>
          <w:lang w:val="en-GB"/>
        </w:rPr>
      </w:pPr>
      <w:r w:rsidRPr="009D2304">
        <w:rPr>
          <w:b/>
          <w:spacing w:val="-2"/>
          <w:lang w:val="en-GB"/>
        </w:rPr>
        <w:t>Note</w:t>
      </w:r>
      <w:r w:rsidRPr="009D2304">
        <w:rPr>
          <w:spacing w:val="-2"/>
          <w:lang w:val="en-GB"/>
        </w:rPr>
        <w:t>: Gametocytes may appear after this stage – this does NOT mean failure of therapy</w:t>
      </w:r>
      <w:r w:rsidR="005007A3" w:rsidRPr="009D2304">
        <w:rPr>
          <w:spacing w:val="-2"/>
          <w:lang w:val="en-GB"/>
        </w:rPr>
        <w:t xml:space="preserve"> as g</w:t>
      </w:r>
      <w:r w:rsidR="00B95A98" w:rsidRPr="009D2304">
        <w:rPr>
          <w:spacing w:val="-2"/>
          <w:lang w:val="en-GB"/>
        </w:rPr>
        <w:t>ametocytes may persist for up to 2 weeks after successful therapy</w:t>
      </w:r>
      <w:r w:rsidR="00B95A98" w:rsidRPr="00802C75">
        <w:rPr>
          <w:lang w:val="en-GB"/>
        </w:rPr>
        <w:t>.</w:t>
      </w:r>
    </w:p>
    <w:p w14:paraId="317DB3F8" w14:textId="080E4EAF" w:rsidR="006D4FB6" w:rsidRPr="00802C75" w:rsidRDefault="006D4FB6" w:rsidP="006D4FB6">
      <w:pPr>
        <w:rPr>
          <w:lang w:val="en-GB"/>
        </w:rPr>
      </w:pPr>
      <w:r w:rsidRPr="00802C75">
        <w:rPr>
          <w:lang w:val="en-GB"/>
        </w:rPr>
        <w:t>Only the reappearance of or failure to clear trophozoites means failure.</w:t>
      </w:r>
    </w:p>
    <w:tbl>
      <w:tblPr>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5970"/>
      </w:tblGrid>
      <w:tr w:rsidR="006D4FB6" w:rsidRPr="00802C75" w14:paraId="176800A5" w14:textId="77777777">
        <w:tc>
          <w:tcPr>
            <w:tcW w:w="6154" w:type="dxa"/>
          </w:tcPr>
          <w:p w14:paraId="1BDD6492" w14:textId="77777777" w:rsidR="006D4FB6" w:rsidRPr="00802C75" w:rsidRDefault="006D4FB6" w:rsidP="006D4FB6">
            <w:pPr>
              <w:spacing w:before="120" w:after="120"/>
              <w:jc w:val="center"/>
              <w:rPr>
                <w:sz w:val="10"/>
                <w:szCs w:val="10"/>
                <w:lang w:val="en-GB"/>
              </w:rPr>
            </w:pPr>
            <w:r w:rsidRPr="00802C75">
              <w:rPr>
                <w:lang w:val="en-GB"/>
              </w:rPr>
              <w:t>Consider concomitant bacteraemia in patients with severe malaria, especially if they have neutrophilia.</w:t>
            </w:r>
          </w:p>
        </w:tc>
      </w:tr>
    </w:tbl>
    <w:p w14:paraId="0BED77FC" w14:textId="77777777" w:rsidR="00E76487" w:rsidRPr="0039680A" w:rsidRDefault="00E76487" w:rsidP="00E76487">
      <w:pPr>
        <w:pStyle w:val="Heading3"/>
        <w:keepNext w:val="0"/>
        <w:widowControl w:val="0"/>
        <w:rPr>
          <w:b w:val="0"/>
          <w:sz w:val="18"/>
          <w:lang w:val="en-GB"/>
        </w:rPr>
      </w:pPr>
    </w:p>
    <w:p w14:paraId="3020C14F" w14:textId="77777777" w:rsidR="006D4FB6" w:rsidRPr="00802C75" w:rsidRDefault="006D4FB6" w:rsidP="00E76487">
      <w:pPr>
        <w:pStyle w:val="Heading3"/>
        <w:keepNext w:val="0"/>
        <w:widowControl w:val="0"/>
        <w:rPr>
          <w:lang w:val="en-GB"/>
        </w:rPr>
      </w:pPr>
      <w:r w:rsidRPr="00802C75">
        <w:rPr>
          <w:lang w:val="en-GB"/>
        </w:rPr>
        <w:t xml:space="preserve">Referral </w:t>
      </w:r>
    </w:p>
    <w:p w14:paraId="73A4C777" w14:textId="77777777" w:rsidR="006D4FB6" w:rsidRDefault="006D4FB6" w:rsidP="00E76487">
      <w:pPr>
        <w:pStyle w:val="Textbullet"/>
        <w:widowControl w:val="0"/>
        <w:numPr>
          <w:ilvl w:val="0"/>
          <w:numId w:val="0"/>
        </w:numPr>
        <w:rPr>
          <w:lang w:val="en-GB"/>
        </w:rPr>
      </w:pPr>
      <w:r w:rsidRPr="00802C75">
        <w:rPr>
          <w:lang w:val="en-GB"/>
        </w:rPr>
        <w:t>Patient in need of ventilation or dialysis if these are unavailable on site.</w:t>
      </w:r>
    </w:p>
    <w:p w14:paraId="1C90BD24" w14:textId="4EB1218F" w:rsidR="00C11A58" w:rsidRDefault="00C11A58" w:rsidP="00E76487">
      <w:pPr>
        <w:pStyle w:val="Textbullet"/>
        <w:widowControl w:val="0"/>
        <w:numPr>
          <w:ilvl w:val="0"/>
          <w:numId w:val="0"/>
        </w:numPr>
        <w:rPr>
          <w:lang w:val="en-GB"/>
        </w:rPr>
      </w:pPr>
    </w:p>
    <w:p w14:paraId="7C6141B6" w14:textId="77777777" w:rsidR="00C11A58" w:rsidRDefault="00C11A58" w:rsidP="00E76487">
      <w:pPr>
        <w:pStyle w:val="Textbullet"/>
        <w:widowControl w:val="0"/>
        <w:numPr>
          <w:ilvl w:val="0"/>
          <w:numId w:val="0"/>
        </w:numPr>
        <w:rPr>
          <w:lang w:val="en-GB"/>
        </w:rPr>
      </w:pPr>
    </w:p>
    <w:p w14:paraId="75A74F27" w14:textId="2F6B12BE" w:rsidR="007D6517" w:rsidRPr="00802C75" w:rsidRDefault="007D6517" w:rsidP="007D6517">
      <w:pPr>
        <w:pStyle w:val="Heading1"/>
        <w:rPr>
          <w:rFonts w:cs="Arial"/>
          <w:lang w:val="en-GB"/>
        </w:rPr>
      </w:pPr>
      <w:r w:rsidRPr="00802C75">
        <w:rPr>
          <w:rFonts w:cs="Arial"/>
          <w:lang w:val="en-GB"/>
        </w:rPr>
        <w:t>9.</w:t>
      </w:r>
      <w:r w:rsidR="00234210">
        <w:rPr>
          <w:rFonts w:cs="Arial"/>
          <w:lang w:val="en-GB"/>
        </w:rPr>
        <w:t>8</w:t>
      </w:r>
      <w:r w:rsidR="00234210" w:rsidRPr="00802C75">
        <w:rPr>
          <w:rFonts w:cs="Arial"/>
          <w:lang w:val="en-GB"/>
        </w:rPr>
        <w:t xml:space="preserve"> </w:t>
      </w:r>
      <w:r w:rsidR="00234210">
        <w:rPr>
          <w:rFonts w:cs="Arial"/>
          <w:lang w:val="en-GB"/>
        </w:rPr>
        <w:t>SCHISTOMIASIS</w:t>
      </w:r>
    </w:p>
    <w:p w14:paraId="2E948EBE" w14:textId="77777777" w:rsidR="006228D2" w:rsidRPr="006228D2" w:rsidRDefault="006228D2" w:rsidP="006228D2">
      <w:pPr>
        <w:widowControl w:val="0"/>
      </w:pPr>
      <w:r w:rsidRPr="006228D2">
        <w:rPr>
          <w:sz w:val="16"/>
          <w:szCs w:val="16"/>
        </w:rPr>
        <w:t>B65.0-3/B65.8-9</w:t>
      </w:r>
    </w:p>
    <w:p w14:paraId="1434E75E" w14:textId="42130344" w:rsidR="006228D2" w:rsidRPr="006228D2" w:rsidRDefault="006228D2" w:rsidP="00234210">
      <w:pPr>
        <w:widowControl w:val="0"/>
        <w:autoSpaceDE w:val="0"/>
        <w:autoSpaceDN w:val="0"/>
        <w:adjustRightInd w:val="0"/>
        <w:rPr>
          <w:color w:val="auto"/>
        </w:rPr>
      </w:pPr>
      <w:r w:rsidRPr="006228D2">
        <w:rPr>
          <w:color w:val="auto"/>
        </w:rPr>
        <w:t>*</w:t>
      </w:r>
      <w:r w:rsidR="00D317FC">
        <w:rPr>
          <w:color w:val="auto"/>
        </w:rPr>
        <w:t>N</w:t>
      </w:r>
      <w:r w:rsidRPr="006228D2">
        <w:rPr>
          <w:color w:val="auto"/>
        </w:rPr>
        <w:t>otifiable medical condition.</w:t>
      </w:r>
    </w:p>
    <w:p w14:paraId="4C9CBA8B" w14:textId="77777777" w:rsidR="006228D2" w:rsidRPr="006228D2" w:rsidRDefault="006228D2" w:rsidP="00234210">
      <w:pPr>
        <w:widowControl w:val="0"/>
        <w:autoSpaceDE w:val="0"/>
        <w:autoSpaceDN w:val="0"/>
        <w:adjustRightInd w:val="0"/>
        <w:rPr>
          <w:b/>
          <w:color w:val="0070C0"/>
          <w:sz w:val="20"/>
          <w:u w:val="single"/>
        </w:rPr>
      </w:pPr>
    </w:p>
    <w:p w14:paraId="33AD4595" w14:textId="77777777" w:rsidR="006228D2" w:rsidRPr="006228D2" w:rsidRDefault="006228D2" w:rsidP="006228D2">
      <w:pPr>
        <w:rPr>
          <w:b/>
          <w:bCs/>
          <w:sz w:val="20"/>
        </w:rPr>
      </w:pPr>
      <w:r w:rsidRPr="006228D2">
        <w:rPr>
          <w:b/>
          <w:bCs/>
          <w:sz w:val="20"/>
        </w:rPr>
        <w:t>DESCRIPTION</w:t>
      </w:r>
    </w:p>
    <w:p w14:paraId="19532BDD" w14:textId="77777777" w:rsidR="006228D2" w:rsidRPr="006228D2" w:rsidRDefault="006228D2" w:rsidP="006228D2">
      <w:pPr>
        <w:widowControl w:val="0"/>
        <w:rPr>
          <w:color w:val="auto"/>
        </w:rPr>
      </w:pPr>
      <w:r w:rsidRPr="006228D2">
        <w:rPr>
          <w:color w:val="auto"/>
        </w:rPr>
        <w:t>A parasitic infestation with:</w:t>
      </w:r>
    </w:p>
    <w:p w14:paraId="26C682BF" w14:textId="77777777" w:rsidR="006228D2" w:rsidRPr="006228D2" w:rsidRDefault="006228D2" w:rsidP="006228D2">
      <w:pPr>
        <w:widowControl w:val="0"/>
        <w:numPr>
          <w:ilvl w:val="0"/>
          <w:numId w:val="30"/>
        </w:numPr>
        <w:tabs>
          <w:tab w:val="clear" w:pos="408"/>
          <w:tab w:val="clear" w:pos="2694"/>
          <w:tab w:val="clear" w:pos="2977"/>
          <w:tab w:val="num" w:pos="284"/>
        </w:tabs>
        <w:ind w:left="284" w:hanging="236"/>
        <w:rPr>
          <w:color w:val="auto"/>
        </w:rPr>
      </w:pPr>
      <w:r w:rsidRPr="006228D2">
        <w:rPr>
          <w:bCs/>
          <w:i/>
          <w:iCs/>
          <w:color w:val="auto"/>
        </w:rPr>
        <w:t>Schistosoma haematobium</w:t>
      </w:r>
      <w:r w:rsidRPr="006228D2">
        <w:rPr>
          <w:bCs/>
          <w:color w:val="auto"/>
        </w:rPr>
        <w:t xml:space="preserve">: </w:t>
      </w:r>
      <w:r w:rsidRPr="006228D2">
        <w:rPr>
          <w:bCs/>
          <w:iCs/>
          <w:color w:val="auto"/>
        </w:rPr>
        <w:t xml:space="preserve">primarily involves the bladder and renal tract, or </w:t>
      </w:r>
    </w:p>
    <w:p w14:paraId="28929B7A" w14:textId="77777777" w:rsidR="006228D2" w:rsidRPr="006228D2" w:rsidRDefault="006228D2" w:rsidP="006228D2">
      <w:pPr>
        <w:widowControl w:val="0"/>
        <w:numPr>
          <w:ilvl w:val="0"/>
          <w:numId w:val="30"/>
        </w:numPr>
        <w:tabs>
          <w:tab w:val="clear" w:pos="408"/>
          <w:tab w:val="clear" w:pos="2694"/>
          <w:tab w:val="clear" w:pos="2977"/>
          <w:tab w:val="num" w:pos="284"/>
        </w:tabs>
        <w:rPr>
          <w:color w:val="auto"/>
        </w:rPr>
      </w:pPr>
      <w:r w:rsidRPr="006228D2">
        <w:rPr>
          <w:bCs/>
          <w:i/>
          <w:iCs/>
          <w:color w:val="auto"/>
        </w:rPr>
        <w:t xml:space="preserve">Schistosoma </w:t>
      </w:r>
      <w:proofErr w:type="spellStart"/>
      <w:r w:rsidRPr="006228D2">
        <w:rPr>
          <w:bCs/>
          <w:i/>
          <w:iCs/>
          <w:color w:val="auto"/>
        </w:rPr>
        <w:t>mansoni</w:t>
      </w:r>
      <w:proofErr w:type="spellEnd"/>
      <w:r w:rsidRPr="006228D2">
        <w:rPr>
          <w:bCs/>
          <w:color w:val="auto"/>
        </w:rPr>
        <w:t>: primarily involves the intestinal tract</w:t>
      </w:r>
      <w:r w:rsidRPr="006228D2">
        <w:rPr>
          <w:color w:val="auto"/>
        </w:rPr>
        <w:t>.</w:t>
      </w:r>
    </w:p>
    <w:p w14:paraId="4C69F812" w14:textId="77777777" w:rsidR="00234210" w:rsidRPr="006228D2" w:rsidRDefault="00234210" w:rsidP="00234210">
      <w:pPr>
        <w:rPr>
          <w:b/>
          <w:color w:val="0070C0"/>
          <w:sz w:val="20"/>
        </w:rPr>
      </w:pPr>
    </w:p>
    <w:p w14:paraId="185EBB75" w14:textId="77777777" w:rsidR="002F448A" w:rsidRPr="002F448A" w:rsidRDefault="002F448A" w:rsidP="00234210">
      <w:pPr>
        <w:rPr>
          <w:b/>
          <w:color w:val="auto"/>
          <w:sz w:val="20"/>
        </w:rPr>
      </w:pPr>
      <w:r w:rsidRPr="002F448A">
        <w:rPr>
          <w:b/>
          <w:color w:val="auto"/>
          <w:sz w:val="20"/>
        </w:rPr>
        <w:t>DIAGNOSIS</w:t>
      </w:r>
    </w:p>
    <w:p w14:paraId="054A4715" w14:textId="77777777" w:rsidR="006228D2" w:rsidRPr="006228D2" w:rsidRDefault="00234210" w:rsidP="00234210">
      <w:pPr>
        <w:rPr>
          <w:color w:val="auto"/>
        </w:rPr>
      </w:pPr>
      <w:r w:rsidRPr="006228D2">
        <w:rPr>
          <w:b/>
          <w:color w:val="auto"/>
        </w:rPr>
        <w:t>Acute schistosomiasis syndrome</w:t>
      </w:r>
      <w:r w:rsidRPr="006228D2">
        <w:rPr>
          <w:color w:val="auto"/>
        </w:rPr>
        <w:t xml:space="preserve"> </w:t>
      </w:r>
    </w:p>
    <w:p w14:paraId="0D95A05D" w14:textId="0F5AFD40" w:rsidR="00234210" w:rsidRPr="00942AEF" w:rsidRDefault="00DF2596" w:rsidP="006228D2">
      <w:pPr>
        <w:widowControl w:val="0"/>
        <w:numPr>
          <w:ilvl w:val="0"/>
          <w:numId w:val="30"/>
        </w:numPr>
        <w:tabs>
          <w:tab w:val="clear" w:pos="408"/>
          <w:tab w:val="clear" w:pos="2694"/>
          <w:tab w:val="clear" w:pos="2977"/>
          <w:tab w:val="num" w:pos="284"/>
        </w:tabs>
        <w:ind w:left="284" w:hanging="236"/>
        <w:rPr>
          <w:bCs/>
          <w:iCs/>
          <w:color w:val="auto"/>
          <w:spacing w:val="-4"/>
        </w:rPr>
      </w:pPr>
      <w:r w:rsidRPr="00942AEF">
        <w:rPr>
          <w:bCs/>
          <w:iCs/>
          <w:color w:val="auto"/>
          <w:spacing w:val="-4"/>
        </w:rPr>
        <w:lastRenderedPageBreak/>
        <w:t xml:space="preserve">Typically </w:t>
      </w:r>
      <w:r w:rsidR="00234210" w:rsidRPr="00942AEF">
        <w:rPr>
          <w:bCs/>
          <w:iCs/>
          <w:color w:val="auto"/>
          <w:spacing w:val="-4"/>
        </w:rPr>
        <w:t xml:space="preserve">occurs in </w:t>
      </w:r>
      <w:r w:rsidR="003A7D85" w:rsidRPr="00942AEF">
        <w:rPr>
          <w:bCs/>
          <w:iCs/>
          <w:color w:val="auto"/>
          <w:spacing w:val="-4"/>
        </w:rPr>
        <w:t>travellers</w:t>
      </w:r>
      <w:r w:rsidR="00A521E0" w:rsidRPr="00942AEF">
        <w:rPr>
          <w:bCs/>
          <w:iCs/>
          <w:color w:val="auto"/>
          <w:spacing w:val="-4"/>
        </w:rPr>
        <w:t xml:space="preserve"> to</w:t>
      </w:r>
      <w:r w:rsidR="00234210" w:rsidRPr="00942AEF">
        <w:rPr>
          <w:bCs/>
          <w:iCs/>
          <w:color w:val="auto"/>
          <w:spacing w:val="-4"/>
        </w:rPr>
        <w:t xml:space="preserve"> endemic areas</w:t>
      </w:r>
      <w:r w:rsidR="00A12899" w:rsidRPr="00942AEF">
        <w:rPr>
          <w:bCs/>
          <w:iCs/>
          <w:color w:val="auto"/>
          <w:spacing w:val="-4"/>
        </w:rPr>
        <w:t xml:space="preserve"> with freshwater exposure</w:t>
      </w:r>
      <w:r w:rsidR="00836F02" w:rsidRPr="00942AEF">
        <w:rPr>
          <w:bCs/>
          <w:iCs/>
          <w:color w:val="auto"/>
          <w:spacing w:val="-4"/>
        </w:rPr>
        <w:t xml:space="preserve"> 3-7 weeks before onset</w:t>
      </w:r>
      <w:r w:rsidR="00234210" w:rsidRPr="00942AEF">
        <w:rPr>
          <w:bCs/>
          <w:iCs/>
          <w:color w:val="auto"/>
          <w:spacing w:val="-4"/>
        </w:rPr>
        <w:t>.</w:t>
      </w:r>
    </w:p>
    <w:p w14:paraId="4035B7F2" w14:textId="2C9A662D" w:rsidR="00B42000" w:rsidRPr="00942AEF" w:rsidRDefault="00234210" w:rsidP="00B42000">
      <w:pPr>
        <w:widowControl w:val="0"/>
        <w:numPr>
          <w:ilvl w:val="0"/>
          <w:numId w:val="30"/>
        </w:numPr>
        <w:tabs>
          <w:tab w:val="clear" w:pos="408"/>
          <w:tab w:val="clear" w:pos="2694"/>
          <w:tab w:val="clear" w:pos="2977"/>
          <w:tab w:val="num" w:pos="284"/>
        </w:tabs>
        <w:ind w:left="284" w:hanging="236"/>
        <w:rPr>
          <w:bCs/>
          <w:iCs/>
          <w:color w:val="auto"/>
          <w:spacing w:val="-4"/>
        </w:rPr>
      </w:pPr>
      <w:r w:rsidRPr="00942AEF">
        <w:rPr>
          <w:bCs/>
          <w:iCs/>
          <w:color w:val="auto"/>
          <w:spacing w:val="-4"/>
        </w:rPr>
        <w:t>Clinical features</w:t>
      </w:r>
      <w:r w:rsidR="006228D2" w:rsidRPr="00942AEF">
        <w:rPr>
          <w:bCs/>
          <w:iCs/>
          <w:color w:val="auto"/>
          <w:spacing w:val="-4"/>
        </w:rPr>
        <w:t xml:space="preserve"> include</w:t>
      </w:r>
      <w:r w:rsidRPr="00942AEF">
        <w:rPr>
          <w:bCs/>
          <w:iCs/>
          <w:color w:val="auto"/>
          <w:spacing w:val="-4"/>
        </w:rPr>
        <w:t xml:space="preserve"> fever, </w:t>
      </w:r>
      <w:r w:rsidR="00BB3752" w:rsidRPr="00942AEF">
        <w:rPr>
          <w:bCs/>
          <w:iCs/>
          <w:color w:val="auto"/>
          <w:spacing w:val="-4"/>
        </w:rPr>
        <w:t xml:space="preserve">rigors/chills, </w:t>
      </w:r>
      <w:proofErr w:type="spellStart"/>
      <w:r w:rsidRPr="00942AEF">
        <w:rPr>
          <w:bCs/>
          <w:iCs/>
          <w:color w:val="auto"/>
          <w:spacing w:val="-4"/>
        </w:rPr>
        <w:t>urticaria</w:t>
      </w:r>
      <w:r w:rsidR="009E1527" w:rsidRPr="00942AEF">
        <w:rPr>
          <w:bCs/>
          <w:iCs/>
          <w:color w:val="auto"/>
          <w:spacing w:val="-4"/>
        </w:rPr>
        <w:t>,</w:t>
      </w:r>
      <w:r w:rsidRPr="00942AEF">
        <w:rPr>
          <w:bCs/>
          <w:iCs/>
          <w:color w:val="auto"/>
          <w:spacing w:val="-4"/>
        </w:rPr>
        <w:t>angioedema</w:t>
      </w:r>
      <w:proofErr w:type="spellEnd"/>
      <w:r w:rsidRPr="00942AEF">
        <w:rPr>
          <w:bCs/>
          <w:iCs/>
          <w:color w:val="auto"/>
          <w:spacing w:val="-4"/>
        </w:rPr>
        <w:t xml:space="preserve">, myalgias, arthralgias, dry cough, </w:t>
      </w:r>
      <w:proofErr w:type="spellStart"/>
      <w:r w:rsidRPr="00942AEF">
        <w:rPr>
          <w:bCs/>
          <w:iCs/>
          <w:color w:val="auto"/>
          <w:spacing w:val="-4"/>
        </w:rPr>
        <w:t>diarrhea</w:t>
      </w:r>
      <w:proofErr w:type="spellEnd"/>
      <w:r w:rsidRPr="00942AEF">
        <w:rPr>
          <w:bCs/>
          <w:iCs/>
          <w:color w:val="auto"/>
          <w:spacing w:val="-4"/>
        </w:rPr>
        <w:t>, abdominal pain, and headache. Symptoms are usually relatively mild and resolve spontaneously over a period of a few days to a few weeks.</w:t>
      </w:r>
    </w:p>
    <w:p w14:paraId="67DEA68A" w14:textId="3A4E8A50" w:rsidR="00234210" w:rsidRPr="00942AEF" w:rsidRDefault="006A08E8" w:rsidP="00234210">
      <w:pPr>
        <w:widowControl w:val="0"/>
        <w:numPr>
          <w:ilvl w:val="0"/>
          <w:numId w:val="30"/>
        </w:numPr>
        <w:tabs>
          <w:tab w:val="clear" w:pos="408"/>
          <w:tab w:val="clear" w:pos="2694"/>
          <w:tab w:val="clear" w:pos="2977"/>
          <w:tab w:val="num" w:pos="284"/>
        </w:tabs>
        <w:ind w:left="284" w:hanging="236"/>
        <w:rPr>
          <w:color w:val="auto"/>
          <w:spacing w:val="-4"/>
          <w:sz w:val="20"/>
        </w:rPr>
      </w:pPr>
      <w:r w:rsidRPr="00942AEF">
        <w:rPr>
          <w:color w:val="auto"/>
          <w:spacing w:val="-4"/>
          <w:lang w:val="en-GB"/>
        </w:rPr>
        <w:t xml:space="preserve">The eosinophil count is </w:t>
      </w:r>
      <w:r w:rsidR="00C333F4" w:rsidRPr="00942AEF">
        <w:rPr>
          <w:color w:val="auto"/>
          <w:spacing w:val="-4"/>
          <w:lang w:val="en-GB"/>
        </w:rPr>
        <w:t xml:space="preserve">almost invariably markedly </w:t>
      </w:r>
      <w:r w:rsidR="00D32B48" w:rsidRPr="00942AEF">
        <w:rPr>
          <w:color w:val="auto"/>
          <w:spacing w:val="-4"/>
          <w:lang w:val="en-GB"/>
        </w:rPr>
        <w:t>elevated</w:t>
      </w:r>
      <w:r w:rsidRPr="00942AEF">
        <w:rPr>
          <w:color w:val="auto"/>
          <w:spacing w:val="-4"/>
          <w:lang w:val="en-GB"/>
        </w:rPr>
        <w:t>.</w:t>
      </w:r>
    </w:p>
    <w:p w14:paraId="10403DA5" w14:textId="3A6BF527" w:rsidR="00A53DA4" w:rsidRPr="00942AEF" w:rsidRDefault="00A53DA4" w:rsidP="00234210">
      <w:pPr>
        <w:widowControl w:val="0"/>
        <w:numPr>
          <w:ilvl w:val="0"/>
          <w:numId w:val="30"/>
        </w:numPr>
        <w:tabs>
          <w:tab w:val="clear" w:pos="408"/>
          <w:tab w:val="clear" w:pos="2694"/>
          <w:tab w:val="clear" w:pos="2977"/>
          <w:tab w:val="num" w:pos="284"/>
        </w:tabs>
        <w:ind w:left="284" w:hanging="236"/>
        <w:rPr>
          <w:color w:val="auto"/>
          <w:spacing w:val="-4"/>
          <w:sz w:val="20"/>
        </w:rPr>
      </w:pPr>
      <w:r w:rsidRPr="00942AEF">
        <w:rPr>
          <w:color w:val="auto"/>
          <w:spacing w:val="-4"/>
          <w:lang w:val="en-GB"/>
        </w:rPr>
        <w:t>Diagnosis is confirmed serologically – eggs are seldom seen in stool or u</w:t>
      </w:r>
      <w:r w:rsidR="00B273B6" w:rsidRPr="00942AEF">
        <w:rPr>
          <w:color w:val="auto"/>
          <w:spacing w:val="-4"/>
          <w:lang w:val="en-GB"/>
        </w:rPr>
        <w:t>r</w:t>
      </w:r>
      <w:r w:rsidRPr="00942AEF">
        <w:rPr>
          <w:color w:val="auto"/>
          <w:spacing w:val="-4"/>
          <w:lang w:val="en-GB"/>
        </w:rPr>
        <w:t>ine</w:t>
      </w:r>
      <w:r w:rsidR="00B273B6" w:rsidRPr="00942AEF">
        <w:rPr>
          <w:color w:val="auto"/>
          <w:spacing w:val="-4"/>
          <w:lang w:val="en-GB"/>
        </w:rPr>
        <w:t>.</w:t>
      </w:r>
    </w:p>
    <w:p w14:paraId="6A48D954" w14:textId="33C77D22" w:rsidR="002E2B8C" w:rsidRPr="009D2304" w:rsidRDefault="002E2B8C" w:rsidP="009D2304">
      <w:pPr>
        <w:widowControl w:val="0"/>
        <w:numPr>
          <w:ilvl w:val="0"/>
          <w:numId w:val="30"/>
        </w:numPr>
        <w:tabs>
          <w:tab w:val="clear" w:pos="408"/>
          <w:tab w:val="clear" w:pos="2694"/>
          <w:tab w:val="clear" w:pos="2977"/>
          <w:tab w:val="num" w:pos="284"/>
        </w:tabs>
        <w:ind w:left="284" w:hanging="236"/>
        <w:rPr>
          <w:bCs/>
          <w:iCs/>
          <w:color w:val="auto"/>
          <w:spacing w:val="-4"/>
        </w:rPr>
      </w:pPr>
      <w:r w:rsidRPr="009D2304">
        <w:rPr>
          <w:color w:val="auto"/>
          <w:spacing w:val="-4"/>
        </w:rPr>
        <w:t>Differential diagnosis</w:t>
      </w:r>
      <w:r w:rsidRPr="009D2304">
        <w:rPr>
          <w:iCs/>
          <w:spacing w:val="-4"/>
        </w:rPr>
        <w:t xml:space="preserve"> </w:t>
      </w:r>
      <w:proofErr w:type="spellStart"/>
      <w:r w:rsidRPr="009D2304">
        <w:rPr>
          <w:iCs/>
          <w:spacing w:val="-4"/>
        </w:rPr>
        <w:t>includess</w:t>
      </w:r>
      <w:proofErr w:type="spellEnd"/>
      <w:r w:rsidRPr="009D2304">
        <w:rPr>
          <w:iCs/>
          <w:spacing w:val="-4"/>
        </w:rPr>
        <w:t xml:space="preserve"> urinary tract infection, </w:t>
      </w:r>
      <w:proofErr w:type="spellStart"/>
      <w:r w:rsidRPr="009D2304">
        <w:rPr>
          <w:bCs/>
          <w:iCs/>
          <w:color w:val="auto"/>
          <w:spacing w:val="-4"/>
        </w:rPr>
        <w:t>glomerulo</w:t>
      </w:r>
      <w:proofErr w:type="spellEnd"/>
      <w:r w:rsidR="009D2304" w:rsidRPr="009D2304">
        <w:rPr>
          <w:bCs/>
          <w:iCs/>
          <w:color w:val="auto"/>
          <w:spacing w:val="-4"/>
        </w:rPr>
        <w:t xml:space="preserve"> </w:t>
      </w:r>
      <w:r w:rsidRPr="009D2304">
        <w:rPr>
          <w:bCs/>
          <w:iCs/>
          <w:color w:val="auto"/>
          <w:spacing w:val="-4"/>
        </w:rPr>
        <w:t>nephritis, HIV, gastroenteritis (Salmonella), hepatitis A, B and C, malaria.</w:t>
      </w:r>
    </w:p>
    <w:p w14:paraId="1ADD13E9" w14:textId="7A9E2C1A" w:rsidR="002E2B8C" w:rsidRDefault="002E2B8C" w:rsidP="00B42000">
      <w:pPr>
        <w:widowControl w:val="0"/>
        <w:tabs>
          <w:tab w:val="clear" w:pos="2694"/>
          <w:tab w:val="clear" w:pos="2977"/>
        </w:tabs>
        <w:ind w:left="284"/>
        <w:rPr>
          <w:color w:val="auto"/>
          <w:sz w:val="10"/>
        </w:rPr>
      </w:pPr>
    </w:p>
    <w:p w14:paraId="210EC88D" w14:textId="77777777" w:rsidR="002059B5" w:rsidRPr="00CC5795" w:rsidRDefault="002059B5" w:rsidP="00B42000">
      <w:pPr>
        <w:widowControl w:val="0"/>
        <w:tabs>
          <w:tab w:val="clear" w:pos="2694"/>
          <w:tab w:val="clear" w:pos="2977"/>
        </w:tabs>
        <w:ind w:left="284"/>
        <w:rPr>
          <w:color w:val="auto"/>
          <w:sz w:val="10"/>
        </w:rPr>
      </w:pPr>
    </w:p>
    <w:p w14:paraId="39FC154B" w14:textId="77777777" w:rsidR="006228D2" w:rsidRDefault="006228D2" w:rsidP="006228D2">
      <w:pPr>
        <w:rPr>
          <w:b/>
          <w:color w:val="auto"/>
        </w:rPr>
      </w:pPr>
      <w:r w:rsidRPr="006228D2">
        <w:rPr>
          <w:b/>
          <w:color w:val="auto"/>
        </w:rPr>
        <w:t xml:space="preserve">Chronic schistosomiasis </w:t>
      </w:r>
    </w:p>
    <w:p w14:paraId="16C9A4AE" w14:textId="2A74A3F4" w:rsidR="006228D2" w:rsidRDefault="00D94661" w:rsidP="006228D2">
      <w:pPr>
        <w:widowControl w:val="0"/>
        <w:numPr>
          <w:ilvl w:val="0"/>
          <w:numId w:val="30"/>
        </w:numPr>
        <w:tabs>
          <w:tab w:val="clear" w:pos="408"/>
          <w:tab w:val="clear" w:pos="2694"/>
          <w:tab w:val="clear" w:pos="2977"/>
          <w:tab w:val="num" w:pos="284"/>
        </w:tabs>
        <w:ind w:left="284" w:hanging="236"/>
        <w:rPr>
          <w:bCs/>
          <w:iCs/>
          <w:color w:val="auto"/>
        </w:rPr>
      </w:pPr>
      <w:r w:rsidRPr="006228D2">
        <w:rPr>
          <w:color w:val="auto"/>
        </w:rPr>
        <w:t>Most individuals with schistosomiasis infection are asymptomatic</w:t>
      </w:r>
      <w:r w:rsidR="006228D2" w:rsidRPr="006228D2">
        <w:rPr>
          <w:bCs/>
          <w:iCs/>
          <w:color w:val="auto"/>
        </w:rPr>
        <w:t>.</w:t>
      </w:r>
    </w:p>
    <w:p w14:paraId="2C0D95D2" w14:textId="20E99ED7" w:rsidR="0053217B" w:rsidRDefault="00A9670B" w:rsidP="006228D2">
      <w:pPr>
        <w:widowControl w:val="0"/>
        <w:numPr>
          <w:ilvl w:val="0"/>
          <w:numId w:val="30"/>
        </w:numPr>
        <w:tabs>
          <w:tab w:val="clear" w:pos="408"/>
          <w:tab w:val="clear" w:pos="2694"/>
          <w:tab w:val="clear" w:pos="2977"/>
          <w:tab w:val="num" w:pos="284"/>
        </w:tabs>
        <w:ind w:left="284" w:hanging="236"/>
        <w:rPr>
          <w:bCs/>
          <w:iCs/>
          <w:color w:val="auto"/>
        </w:rPr>
      </w:pPr>
      <w:r w:rsidRPr="00D170F3">
        <w:rPr>
          <w:bCs/>
          <w:i/>
          <w:iCs/>
          <w:color w:val="auto"/>
        </w:rPr>
        <w:t>S. haematobium</w:t>
      </w:r>
      <w:r>
        <w:rPr>
          <w:bCs/>
          <w:iCs/>
          <w:color w:val="auto"/>
        </w:rPr>
        <w:t xml:space="preserve"> </w:t>
      </w:r>
      <w:r w:rsidR="008B59E0">
        <w:rPr>
          <w:bCs/>
          <w:iCs/>
          <w:color w:val="auto"/>
        </w:rPr>
        <w:t xml:space="preserve">may </w:t>
      </w:r>
      <w:r w:rsidR="003077AA">
        <w:rPr>
          <w:bCs/>
          <w:iCs/>
          <w:color w:val="auto"/>
        </w:rPr>
        <w:t>present with macroscopic haematuria and urinary symptoms.</w:t>
      </w:r>
      <w:r w:rsidR="00746293">
        <w:rPr>
          <w:bCs/>
          <w:iCs/>
          <w:color w:val="auto"/>
        </w:rPr>
        <w:t xml:space="preserve"> Chronic bladder involvement </w:t>
      </w:r>
      <w:r w:rsidR="008A156E">
        <w:rPr>
          <w:bCs/>
          <w:iCs/>
          <w:color w:val="auto"/>
        </w:rPr>
        <w:t xml:space="preserve">and urinary tract involvement </w:t>
      </w:r>
      <w:r w:rsidR="00746293">
        <w:rPr>
          <w:bCs/>
          <w:iCs/>
          <w:color w:val="auto"/>
        </w:rPr>
        <w:t>may cause urinary inconti</w:t>
      </w:r>
      <w:r w:rsidR="008A156E">
        <w:rPr>
          <w:bCs/>
          <w:iCs/>
          <w:color w:val="auto"/>
        </w:rPr>
        <w:t>n</w:t>
      </w:r>
      <w:r w:rsidR="00746293">
        <w:rPr>
          <w:bCs/>
          <w:iCs/>
          <w:color w:val="auto"/>
        </w:rPr>
        <w:t>en</w:t>
      </w:r>
      <w:r w:rsidR="008A156E">
        <w:rPr>
          <w:bCs/>
          <w:iCs/>
          <w:color w:val="auto"/>
        </w:rPr>
        <w:t xml:space="preserve">ce </w:t>
      </w:r>
      <w:r w:rsidR="0053217B">
        <w:rPr>
          <w:bCs/>
          <w:iCs/>
          <w:color w:val="auto"/>
        </w:rPr>
        <w:t>and obstructive uropathy</w:t>
      </w:r>
      <w:r w:rsidR="008A156E">
        <w:rPr>
          <w:bCs/>
          <w:iCs/>
          <w:color w:val="auto"/>
        </w:rPr>
        <w:t>.</w:t>
      </w:r>
    </w:p>
    <w:p w14:paraId="3B00C171" w14:textId="77777777" w:rsidR="00924613" w:rsidRDefault="0053217B" w:rsidP="006228D2">
      <w:pPr>
        <w:widowControl w:val="0"/>
        <w:numPr>
          <w:ilvl w:val="0"/>
          <w:numId w:val="30"/>
        </w:numPr>
        <w:tabs>
          <w:tab w:val="clear" w:pos="408"/>
          <w:tab w:val="clear" w:pos="2694"/>
          <w:tab w:val="clear" w:pos="2977"/>
          <w:tab w:val="num" w:pos="284"/>
        </w:tabs>
        <w:ind w:left="284" w:hanging="236"/>
        <w:rPr>
          <w:bCs/>
          <w:iCs/>
          <w:color w:val="auto"/>
        </w:rPr>
      </w:pPr>
      <w:r>
        <w:rPr>
          <w:bCs/>
          <w:i/>
          <w:iCs/>
          <w:color w:val="auto"/>
        </w:rPr>
        <w:t xml:space="preserve">S. </w:t>
      </w:r>
      <w:proofErr w:type="spellStart"/>
      <w:r>
        <w:rPr>
          <w:bCs/>
          <w:i/>
          <w:iCs/>
          <w:color w:val="auto"/>
        </w:rPr>
        <w:t>mansoni</w:t>
      </w:r>
      <w:proofErr w:type="spellEnd"/>
      <w:r>
        <w:rPr>
          <w:bCs/>
          <w:iCs/>
          <w:color w:val="auto"/>
        </w:rPr>
        <w:t xml:space="preserve"> may present with </w:t>
      </w:r>
      <w:r w:rsidR="008B59E0">
        <w:rPr>
          <w:bCs/>
          <w:iCs/>
          <w:color w:val="auto"/>
        </w:rPr>
        <w:t>chronic</w:t>
      </w:r>
      <w:r w:rsidR="00DE59D2">
        <w:rPr>
          <w:bCs/>
          <w:iCs/>
          <w:color w:val="auto"/>
        </w:rPr>
        <w:t xml:space="preserve"> or intermittent</w:t>
      </w:r>
      <w:r w:rsidR="008B59E0">
        <w:rPr>
          <w:bCs/>
          <w:iCs/>
          <w:color w:val="auto"/>
        </w:rPr>
        <w:t xml:space="preserve"> dysentery.</w:t>
      </w:r>
      <w:r w:rsidR="00112981">
        <w:rPr>
          <w:bCs/>
          <w:iCs/>
          <w:color w:val="auto"/>
        </w:rPr>
        <w:t xml:space="preserve"> Periportal fibrosis and portal hypertension may occur.</w:t>
      </w:r>
    </w:p>
    <w:p w14:paraId="50BF7729" w14:textId="57DF4BB3" w:rsidR="006228D2" w:rsidRDefault="008476E6" w:rsidP="006228D2">
      <w:pPr>
        <w:widowControl w:val="0"/>
        <w:numPr>
          <w:ilvl w:val="0"/>
          <w:numId w:val="30"/>
        </w:numPr>
        <w:tabs>
          <w:tab w:val="clear" w:pos="408"/>
          <w:tab w:val="clear" w:pos="2694"/>
          <w:tab w:val="clear" w:pos="2977"/>
          <w:tab w:val="num" w:pos="284"/>
        </w:tabs>
        <w:ind w:left="284" w:hanging="236"/>
        <w:rPr>
          <w:bCs/>
          <w:iCs/>
          <w:color w:val="auto"/>
        </w:rPr>
      </w:pPr>
      <w:r>
        <w:rPr>
          <w:bCs/>
          <w:iCs/>
          <w:color w:val="auto"/>
        </w:rPr>
        <w:t>Pulmonary hypertension</w:t>
      </w:r>
      <w:r w:rsidR="003F2D84">
        <w:rPr>
          <w:bCs/>
          <w:iCs/>
          <w:color w:val="auto"/>
        </w:rPr>
        <w:t xml:space="preserve"> and</w:t>
      </w:r>
      <w:r w:rsidR="006228D2" w:rsidRPr="006228D2">
        <w:rPr>
          <w:bCs/>
          <w:iCs/>
          <w:color w:val="auto"/>
        </w:rPr>
        <w:t xml:space="preserve">  central nervous system</w:t>
      </w:r>
      <w:r w:rsidR="003F2D84">
        <w:rPr>
          <w:bCs/>
          <w:iCs/>
          <w:color w:val="auto"/>
        </w:rPr>
        <w:t xml:space="preserve"> involvement (particularly myelopathy) are uncommon complications</w:t>
      </w:r>
      <w:r w:rsidR="006228D2" w:rsidRPr="006228D2">
        <w:rPr>
          <w:bCs/>
          <w:iCs/>
          <w:color w:val="auto"/>
        </w:rPr>
        <w:t>.</w:t>
      </w:r>
    </w:p>
    <w:p w14:paraId="74C6B71D" w14:textId="15102710" w:rsidR="003F2D84" w:rsidRPr="006228D2" w:rsidRDefault="003F2D84" w:rsidP="006228D2">
      <w:pPr>
        <w:widowControl w:val="0"/>
        <w:numPr>
          <w:ilvl w:val="0"/>
          <w:numId w:val="30"/>
        </w:numPr>
        <w:tabs>
          <w:tab w:val="clear" w:pos="408"/>
          <w:tab w:val="clear" w:pos="2694"/>
          <w:tab w:val="clear" w:pos="2977"/>
          <w:tab w:val="num" w:pos="284"/>
        </w:tabs>
        <w:ind w:left="284" w:hanging="236"/>
        <w:rPr>
          <w:bCs/>
          <w:iCs/>
          <w:color w:val="auto"/>
        </w:rPr>
      </w:pPr>
      <w:r>
        <w:rPr>
          <w:bCs/>
          <w:iCs/>
          <w:color w:val="auto"/>
        </w:rPr>
        <w:t>D</w:t>
      </w:r>
      <w:r w:rsidR="00A82603">
        <w:rPr>
          <w:bCs/>
          <w:iCs/>
          <w:color w:val="auto"/>
        </w:rPr>
        <w:t>efinitive d</w:t>
      </w:r>
      <w:r>
        <w:rPr>
          <w:bCs/>
          <w:iCs/>
          <w:color w:val="auto"/>
        </w:rPr>
        <w:t xml:space="preserve">iagnosis is by </w:t>
      </w:r>
      <w:r w:rsidR="006B7110">
        <w:rPr>
          <w:bCs/>
          <w:iCs/>
          <w:color w:val="auto"/>
        </w:rPr>
        <w:t>finding eggs in urine (</w:t>
      </w:r>
      <w:r w:rsidR="008D0FE9" w:rsidRPr="00783006">
        <w:rPr>
          <w:bCs/>
          <w:i/>
          <w:iCs/>
          <w:color w:val="auto"/>
        </w:rPr>
        <w:t>S. haematobium</w:t>
      </w:r>
      <w:r w:rsidR="006B7110">
        <w:rPr>
          <w:bCs/>
          <w:iCs/>
          <w:color w:val="auto"/>
        </w:rPr>
        <w:t>)</w:t>
      </w:r>
      <w:r w:rsidR="008D0FE9">
        <w:rPr>
          <w:bCs/>
          <w:iCs/>
          <w:color w:val="auto"/>
        </w:rPr>
        <w:t>, stool (</w:t>
      </w:r>
      <w:r w:rsidR="008D0FE9">
        <w:rPr>
          <w:bCs/>
          <w:i/>
          <w:iCs/>
          <w:color w:val="auto"/>
        </w:rPr>
        <w:t xml:space="preserve">S. </w:t>
      </w:r>
      <w:proofErr w:type="spellStart"/>
      <w:r w:rsidR="008D0FE9">
        <w:rPr>
          <w:bCs/>
          <w:i/>
          <w:iCs/>
          <w:color w:val="auto"/>
        </w:rPr>
        <w:t>mansoni</w:t>
      </w:r>
      <w:proofErr w:type="spellEnd"/>
      <w:r w:rsidR="008D0FE9">
        <w:rPr>
          <w:bCs/>
          <w:iCs/>
          <w:color w:val="auto"/>
        </w:rPr>
        <w:t>), or on biopsy. Serology is</w:t>
      </w:r>
      <w:r w:rsidR="005F6E18">
        <w:rPr>
          <w:bCs/>
          <w:iCs/>
          <w:color w:val="auto"/>
        </w:rPr>
        <w:t xml:space="preserve"> usuall</w:t>
      </w:r>
      <w:r w:rsidR="00843E15">
        <w:rPr>
          <w:bCs/>
          <w:iCs/>
          <w:color w:val="auto"/>
        </w:rPr>
        <w:t>y positive</w:t>
      </w:r>
      <w:r w:rsidR="008D0FE9">
        <w:rPr>
          <w:bCs/>
          <w:iCs/>
          <w:color w:val="auto"/>
        </w:rPr>
        <w:t>.</w:t>
      </w:r>
    </w:p>
    <w:p w14:paraId="5C4B3277" w14:textId="77777777" w:rsidR="006228D2" w:rsidRPr="002059B5" w:rsidRDefault="006228D2" w:rsidP="00234210">
      <w:pPr>
        <w:rPr>
          <w:color w:val="auto"/>
        </w:rPr>
      </w:pPr>
    </w:p>
    <w:p w14:paraId="7A38FB8F" w14:textId="77777777" w:rsidR="006228D2" w:rsidRPr="0033323F" w:rsidRDefault="006228D2" w:rsidP="006228D2">
      <w:pPr>
        <w:rPr>
          <w:b/>
          <w:color w:val="auto"/>
          <w:sz w:val="20"/>
        </w:rPr>
      </w:pPr>
      <w:r w:rsidRPr="0033323F">
        <w:rPr>
          <w:b/>
          <w:color w:val="auto"/>
          <w:sz w:val="20"/>
        </w:rPr>
        <w:t>MEDICINE TREATMENT</w:t>
      </w:r>
    </w:p>
    <w:p w14:paraId="529D0107" w14:textId="77777777" w:rsidR="00CA7F07" w:rsidRDefault="006228D2" w:rsidP="006228D2">
      <w:pPr>
        <w:rPr>
          <w:color w:val="auto"/>
        </w:rPr>
      </w:pPr>
      <w:r w:rsidRPr="0033323F">
        <w:rPr>
          <w:b/>
          <w:color w:val="auto"/>
        </w:rPr>
        <w:t>Acute schistosomiasis syndrome</w:t>
      </w:r>
    </w:p>
    <w:p w14:paraId="77178ADE" w14:textId="4B1C1140" w:rsidR="006228D2" w:rsidRPr="00CA7F07" w:rsidRDefault="00CA7F07" w:rsidP="00CA7F07">
      <w:pPr>
        <w:pStyle w:val="ListParagraph"/>
        <w:numPr>
          <w:ilvl w:val="0"/>
          <w:numId w:val="37"/>
        </w:numPr>
        <w:ind w:left="284" w:hanging="284"/>
        <w:contextualSpacing w:val="0"/>
        <w:rPr>
          <w:rFonts w:ascii="Arial" w:hAnsi="Arial" w:cs="Arial"/>
          <w:sz w:val="18"/>
          <w:szCs w:val="18"/>
        </w:rPr>
      </w:pPr>
      <w:r w:rsidRPr="00F92267">
        <w:rPr>
          <w:rFonts w:ascii="Arial" w:hAnsi="Arial" w:cs="Arial"/>
          <w:sz w:val="18"/>
          <w:szCs w:val="18"/>
        </w:rPr>
        <w:t xml:space="preserve">Corticosteroids </w:t>
      </w:r>
      <w:r w:rsidR="00664D12">
        <w:rPr>
          <w:rFonts w:ascii="Arial" w:hAnsi="Arial" w:cs="Arial"/>
          <w:sz w:val="18"/>
          <w:szCs w:val="18"/>
        </w:rPr>
        <w:t xml:space="preserve">(intermediate-acting) </w:t>
      </w:r>
      <w:r w:rsidRPr="00F92267">
        <w:rPr>
          <w:rFonts w:ascii="Arial" w:hAnsi="Arial" w:cs="Arial"/>
          <w:sz w:val="18"/>
          <w:szCs w:val="18"/>
        </w:rPr>
        <w:t>e.g.:</w:t>
      </w:r>
    </w:p>
    <w:p w14:paraId="5D375278" w14:textId="77777777" w:rsidR="006A08E8" w:rsidRPr="0033323F" w:rsidRDefault="006A08E8" w:rsidP="002059B5">
      <w:pPr>
        <w:pStyle w:val="ListParagraph"/>
        <w:numPr>
          <w:ilvl w:val="0"/>
          <w:numId w:val="31"/>
        </w:numPr>
        <w:ind w:left="284" w:hanging="284"/>
        <w:rPr>
          <w:rFonts w:ascii="Arial" w:hAnsi="Arial" w:cs="Arial"/>
          <w:sz w:val="18"/>
          <w:szCs w:val="18"/>
        </w:rPr>
      </w:pPr>
      <w:r w:rsidRPr="0033323F">
        <w:rPr>
          <w:rFonts w:ascii="Arial" w:hAnsi="Arial" w:cs="Arial"/>
          <w:sz w:val="18"/>
          <w:szCs w:val="18"/>
        </w:rPr>
        <w:t>Prednisone, oral, 40 mg daily for 5 days</w:t>
      </w:r>
      <w:r w:rsidR="002F448A" w:rsidRPr="0033323F">
        <w:rPr>
          <w:rFonts w:ascii="Arial" w:hAnsi="Arial" w:cs="Arial"/>
          <w:sz w:val="18"/>
          <w:szCs w:val="18"/>
        </w:rPr>
        <w:t>.</w:t>
      </w:r>
    </w:p>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
      </w:tblGrid>
      <w:tr w:rsidR="002F448A" w:rsidRPr="00AE506D" w14:paraId="411B9DA6" w14:textId="77777777" w:rsidTr="00A468AA">
        <w:tc>
          <w:tcPr>
            <w:tcW w:w="1134" w:type="dxa"/>
            <w:shd w:val="clear" w:color="auto" w:fill="auto"/>
          </w:tcPr>
          <w:p w14:paraId="2E63AE1F" w14:textId="2A013FE8" w:rsidR="002F448A" w:rsidRPr="00AE506D" w:rsidRDefault="002F448A" w:rsidP="00A468AA">
            <w:pPr>
              <w:jc w:val="right"/>
              <w:rPr>
                <w:b/>
                <w:i/>
                <w:sz w:val="16"/>
              </w:rPr>
            </w:pPr>
            <w:proofErr w:type="spellStart"/>
            <w:r w:rsidRPr="00AE506D">
              <w:rPr>
                <w:i/>
                <w:sz w:val="16"/>
              </w:rPr>
              <w:t>LoE:III</w:t>
            </w:r>
            <w:r w:rsidR="00C728E1">
              <w:rPr>
                <w:i/>
                <w:sz w:val="16"/>
              </w:rPr>
              <w:t>b</w:t>
            </w:r>
            <w:proofErr w:type="spellEnd"/>
            <w:r w:rsidRPr="00AE506D">
              <w:rPr>
                <w:i/>
                <w:sz w:val="16"/>
                <w:vertAlign w:val="superscript"/>
              </w:rPr>
              <w:endnoteReference w:id="28"/>
            </w:r>
          </w:p>
        </w:tc>
      </w:tr>
    </w:tbl>
    <w:p w14:paraId="5B7BC098" w14:textId="77777777" w:rsidR="006A08E8" w:rsidRPr="00C11A58" w:rsidRDefault="006A08E8" w:rsidP="006A08E8">
      <w:pPr>
        <w:rPr>
          <w:color w:val="auto"/>
          <w:sz w:val="10"/>
        </w:rPr>
      </w:pPr>
    </w:p>
    <w:p w14:paraId="35987883" w14:textId="77777777" w:rsidR="006A08E8" w:rsidRPr="0033323F" w:rsidRDefault="006A08E8" w:rsidP="006A08E8">
      <w:pPr>
        <w:rPr>
          <w:color w:val="auto"/>
          <w:u w:val="single"/>
        </w:rPr>
      </w:pPr>
      <w:r w:rsidRPr="0033323F">
        <w:rPr>
          <w:color w:val="auto"/>
          <w:u w:val="single"/>
        </w:rPr>
        <w:t>4-6 weeks later, after symptoms have resolved:</w:t>
      </w:r>
    </w:p>
    <w:p w14:paraId="355405A5" w14:textId="77777777" w:rsidR="002F448A" w:rsidRPr="0033323F" w:rsidRDefault="006A08E8" w:rsidP="002059B5">
      <w:pPr>
        <w:pStyle w:val="ListParagraph"/>
        <w:numPr>
          <w:ilvl w:val="0"/>
          <w:numId w:val="31"/>
        </w:numPr>
        <w:ind w:left="284" w:hanging="284"/>
        <w:rPr>
          <w:rFonts w:ascii="Arial" w:hAnsi="Arial" w:cs="Arial"/>
          <w:sz w:val="18"/>
          <w:szCs w:val="18"/>
        </w:rPr>
      </w:pPr>
      <w:r w:rsidRPr="0033323F">
        <w:rPr>
          <w:rFonts w:ascii="Arial" w:hAnsi="Arial" w:cs="Arial"/>
          <w:sz w:val="18"/>
          <w:szCs w:val="18"/>
        </w:rPr>
        <w:t>Praziquantel, oral, 40 mg/kg as a single dose.</w:t>
      </w:r>
    </w:p>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
      </w:tblGrid>
      <w:tr w:rsidR="002F448A" w:rsidRPr="0033323F" w14:paraId="29A5E85C" w14:textId="77777777" w:rsidTr="00A468AA">
        <w:tc>
          <w:tcPr>
            <w:tcW w:w="1134" w:type="dxa"/>
            <w:shd w:val="clear" w:color="auto" w:fill="auto"/>
          </w:tcPr>
          <w:p w14:paraId="73694C6D" w14:textId="0603E3B1" w:rsidR="002F448A" w:rsidRPr="00AE506D" w:rsidRDefault="002F448A" w:rsidP="00A468AA">
            <w:pPr>
              <w:jc w:val="right"/>
              <w:rPr>
                <w:b/>
                <w:i/>
                <w:sz w:val="16"/>
              </w:rPr>
            </w:pPr>
            <w:proofErr w:type="spellStart"/>
            <w:r w:rsidRPr="00AE506D">
              <w:rPr>
                <w:i/>
                <w:sz w:val="16"/>
              </w:rPr>
              <w:t>LoE:III</w:t>
            </w:r>
            <w:r w:rsidR="00C728E1">
              <w:rPr>
                <w:i/>
                <w:sz w:val="16"/>
              </w:rPr>
              <w:t>b</w:t>
            </w:r>
            <w:proofErr w:type="spellEnd"/>
            <w:r w:rsidRPr="00AE506D">
              <w:rPr>
                <w:i/>
                <w:sz w:val="16"/>
                <w:vertAlign w:val="superscript"/>
              </w:rPr>
              <w:endnoteReference w:id="29"/>
            </w:r>
          </w:p>
        </w:tc>
      </w:tr>
    </w:tbl>
    <w:p w14:paraId="5CCFE783" w14:textId="77777777" w:rsidR="006A08E8" w:rsidRPr="0033323F" w:rsidRDefault="006A08E8" w:rsidP="002F448A">
      <w:pPr>
        <w:rPr>
          <w:sz w:val="2"/>
        </w:rPr>
      </w:pPr>
    </w:p>
    <w:p w14:paraId="2EF1817B" w14:textId="01095C4C" w:rsidR="006A08E8" w:rsidRDefault="006A08E8" w:rsidP="006A08E8">
      <w:pPr>
        <w:rPr>
          <w:b/>
          <w:color w:val="auto"/>
        </w:rPr>
      </w:pPr>
      <w:r w:rsidRPr="0033323F">
        <w:rPr>
          <w:b/>
          <w:color w:val="auto"/>
        </w:rPr>
        <w:t>AND</w:t>
      </w:r>
    </w:p>
    <w:p w14:paraId="5F266E07" w14:textId="3A71F7F8" w:rsidR="00CA7F07" w:rsidRPr="00CA7F07" w:rsidRDefault="00CA7F07" w:rsidP="00CA7F07">
      <w:pPr>
        <w:pStyle w:val="ListParagraph"/>
        <w:numPr>
          <w:ilvl w:val="0"/>
          <w:numId w:val="37"/>
        </w:numPr>
        <w:ind w:left="284" w:hanging="284"/>
        <w:contextualSpacing w:val="0"/>
        <w:rPr>
          <w:rFonts w:ascii="Arial" w:hAnsi="Arial" w:cs="Arial"/>
          <w:sz w:val="18"/>
          <w:szCs w:val="18"/>
        </w:rPr>
      </w:pPr>
      <w:r w:rsidRPr="00F92267">
        <w:rPr>
          <w:rFonts w:ascii="Arial" w:hAnsi="Arial" w:cs="Arial"/>
          <w:sz w:val="18"/>
          <w:szCs w:val="18"/>
        </w:rPr>
        <w:t xml:space="preserve">Corticosteroids </w:t>
      </w:r>
      <w:r w:rsidR="00664D12">
        <w:rPr>
          <w:rFonts w:ascii="Arial" w:hAnsi="Arial" w:cs="Arial"/>
          <w:sz w:val="18"/>
          <w:szCs w:val="18"/>
        </w:rPr>
        <w:t>(intermediate-</w:t>
      </w:r>
      <w:proofErr w:type="gramStart"/>
      <w:r w:rsidR="00664D12">
        <w:rPr>
          <w:rFonts w:ascii="Arial" w:hAnsi="Arial" w:cs="Arial"/>
          <w:sz w:val="18"/>
          <w:szCs w:val="18"/>
        </w:rPr>
        <w:t>acting)</w:t>
      </w:r>
      <w:r w:rsidRPr="00F92267">
        <w:rPr>
          <w:rFonts w:ascii="Arial" w:hAnsi="Arial" w:cs="Arial"/>
          <w:sz w:val="18"/>
          <w:szCs w:val="18"/>
        </w:rPr>
        <w:t>e.g.</w:t>
      </w:r>
      <w:proofErr w:type="gramEnd"/>
      <w:r w:rsidRPr="00F92267">
        <w:rPr>
          <w:rFonts w:ascii="Arial" w:hAnsi="Arial" w:cs="Arial"/>
          <w:sz w:val="18"/>
          <w:szCs w:val="18"/>
        </w:rPr>
        <w:t>:</w:t>
      </w:r>
    </w:p>
    <w:p w14:paraId="02010CF3" w14:textId="77777777" w:rsidR="006A08E8" w:rsidRPr="0033323F" w:rsidRDefault="006A08E8" w:rsidP="002059B5">
      <w:pPr>
        <w:pStyle w:val="ListParagraph"/>
        <w:numPr>
          <w:ilvl w:val="0"/>
          <w:numId w:val="31"/>
        </w:numPr>
        <w:ind w:left="284" w:hanging="284"/>
        <w:rPr>
          <w:rFonts w:ascii="Arial" w:hAnsi="Arial" w:cs="Arial"/>
          <w:sz w:val="18"/>
          <w:szCs w:val="18"/>
        </w:rPr>
      </w:pPr>
      <w:r w:rsidRPr="0033323F">
        <w:rPr>
          <w:rFonts w:ascii="Arial" w:hAnsi="Arial" w:cs="Arial"/>
          <w:sz w:val="18"/>
          <w:szCs w:val="18"/>
        </w:rPr>
        <w:t>Prednisone, oral, 40 mg daily for 5 days</w:t>
      </w:r>
      <w:r w:rsidR="002F448A" w:rsidRPr="0033323F">
        <w:rPr>
          <w:rFonts w:ascii="Arial" w:hAnsi="Arial" w:cs="Arial"/>
          <w:sz w:val="18"/>
          <w:szCs w:val="18"/>
        </w:rPr>
        <w:t>.</w:t>
      </w:r>
    </w:p>
    <w:p w14:paraId="7D5A81C4" w14:textId="776BFB5E" w:rsidR="00234210" w:rsidRPr="0033323F" w:rsidRDefault="00234210" w:rsidP="00234210">
      <w:pPr>
        <w:rPr>
          <w:color w:val="auto"/>
        </w:rPr>
      </w:pPr>
      <w:r w:rsidRPr="0033323F">
        <w:rPr>
          <w:color w:val="auto"/>
        </w:rPr>
        <w:t xml:space="preserve">Optimum time </w:t>
      </w:r>
      <w:r w:rsidR="006A08E8" w:rsidRPr="0033323F">
        <w:rPr>
          <w:color w:val="auto"/>
        </w:rPr>
        <w:t xml:space="preserve">for administration of praziquantel is </w:t>
      </w:r>
      <w:r w:rsidRPr="0033323F">
        <w:rPr>
          <w:color w:val="auto"/>
        </w:rPr>
        <w:t xml:space="preserve">uncertain but </w:t>
      </w:r>
      <w:r w:rsidR="006A08E8" w:rsidRPr="0033323F">
        <w:rPr>
          <w:color w:val="auto"/>
        </w:rPr>
        <w:t xml:space="preserve">sufficient time is </w:t>
      </w:r>
      <w:r w:rsidRPr="0033323F">
        <w:rPr>
          <w:color w:val="auto"/>
        </w:rPr>
        <w:t>require</w:t>
      </w:r>
      <w:r w:rsidR="006A08E8" w:rsidRPr="0033323F">
        <w:rPr>
          <w:color w:val="auto"/>
        </w:rPr>
        <w:t>d for the</w:t>
      </w:r>
      <w:r w:rsidRPr="0033323F">
        <w:rPr>
          <w:color w:val="auto"/>
        </w:rPr>
        <w:t xml:space="preserve"> worms to mature. </w:t>
      </w:r>
    </w:p>
    <w:p w14:paraId="143144F4" w14:textId="77777777" w:rsidR="00234210" w:rsidRPr="0033323F" w:rsidRDefault="00234210" w:rsidP="00234210">
      <w:pPr>
        <w:rPr>
          <w:color w:val="auto"/>
        </w:rPr>
      </w:pPr>
    </w:p>
    <w:p w14:paraId="412EFBB7" w14:textId="77777777" w:rsidR="006A08E8" w:rsidRPr="0033323F" w:rsidRDefault="006A08E8" w:rsidP="006A08E8">
      <w:pPr>
        <w:pStyle w:val="Textbullet"/>
        <w:widowControl w:val="0"/>
        <w:numPr>
          <w:ilvl w:val="0"/>
          <w:numId w:val="0"/>
        </w:numPr>
        <w:rPr>
          <w:color w:val="auto"/>
          <w:u w:val="single"/>
        </w:rPr>
      </w:pPr>
      <w:r w:rsidRPr="0033323F">
        <w:rPr>
          <w:color w:val="auto"/>
          <w:u w:val="single"/>
        </w:rPr>
        <w:t xml:space="preserve">If in 4-6 weeks,  </w:t>
      </w:r>
      <w:proofErr w:type="spellStart"/>
      <w:r w:rsidRPr="0033323F">
        <w:rPr>
          <w:color w:val="auto"/>
          <w:u w:val="single"/>
        </w:rPr>
        <w:t>eosinoplilia</w:t>
      </w:r>
      <w:proofErr w:type="spellEnd"/>
      <w:r w:rsidRPr="0033323F">
        <w:rPr>
          <w:color w:val="auto"/>
          <w:u w:val="single"/>
        </w:rPr>
        <w:t xml:space="preserve"> present and high antibody titres, repeat praziquantel treatment:</w:t>
      </w:r>
    </w:p>
    <w:p w14:paraId="427B625D" w14:textId="77777777" w:rsidR="006A08E8" w:rsidRPr="0033323F" w:rsidRDefault="006A08E8" w:rsidP="002059B5">
      <w:pPr>
        <w:pStyle w:val="ListParagraph"/>
        <w:numPr>
          <w:ilvl w:val="0"/>
          <w:numId w:val="31"/>
        </w:numPr>
        <w:ind w:left="284" w:hanging="284"/>
        <w:rPr>
          <w:rFonts w:ascii="Arial" w:hAnsi="Arial" w:cs="Arial"/>
          <w:sz w:val="18"/>
          <w:szCs w:val="18"/>
        </w:rPr>
      </w:pPr>
      <w:r w:rsidRPr="0033323F">
        <w:rPr>
          <w:rFonts w:ascii="Arial" w:hAnsi="Arial" w:cs="Arial"/>
          <w:sz w:val="18"/>
          <w:szCs w:val="18"/>
        </w:rPr>
        <w:t>Praziquantel, oral, 40 mg/kg as a single dose.</w:t>
      </w:r>
    </w:p>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
      </w:tblGrid>
      <w:tr w:rsidR="002F448A" w:rsidRPr="00AE506D" w14:paraId="54F88DEB" w14:textId="77777777" w:rsidTr="00A468AA">
        <w:tc>
          <w:tcPr>
            <w:tcW w:w="1134" w:type="dxa"/>
            <w:shd w:val="clear" w:color="auto" w:fill="auto"/>
          </w:tcPr>
          <w:p w14:paraId="12795D2F" w14:textId="31F23C65" w:rsidR="002F448A" w:rsidRPr="00AE506D" w:rsidRDefault="002F448A" w:rsidP="00A468AA">
            <w:pPr>
              <w:jc w:val="right"/>
              <w:rPr>
                <w:b/>
                <w:i/>
                <w:sz w:val="16"/>
              </w:rPr>
            </w:pPr>
            <w:proofErr w:type="spellStart"/>
            <w:r w:rsidRPr="00AE506D">
              <w:rPr>
                <w:i/>
                <w:sz w:val="16"/>
              </w:rPr>
              <w:t>LoE:III</w:t>
            </w:r>
            <w:r w:rsidR="00C728E1">
              <w:rPr>
                <w:i/>
                <w:sz w:val="16"/>
              </w:rPr>
              <w:t>b</w:t>
            </w:r>
            <w:proofErr w:type="spellEnd"/>
            <w:r w:rsidRPr="00AE506D">
              <w:rPr>
                <w:i/>
                <w:sz w:val="16"/>
                <w:vertAlign w:val="superscript"/>
              </w:rPr>
              <w:endnoteReference w:id="30"/>
            </w:r>
          </w:p>
        </w:tc>
      </w:tr>
    </w:tbl>
    <w:p w14:paraId="5E6952E6" w14:textId="77777777" w:rsidR="007D6517" w:rsidRDefault="007D6517" w:rsidP="00E76487">
      <w:pPr>
        <w:pStyle w:val="Textbullet"/>
        <w:widowControl w:val="0"/>
        <w:numPr>
          <w:ilvl w:val="0"/>
          <w:numId w:val="0"/>
        </w:numPr>
        <w:rPr>
          <w:lang w:val="en-GB"/>
        </w:rPr>
      </w:pPr>
    </w:p>
    <w:p w14:paraId="3BD3D5F9" w14:textId="6AF5C559" w:rsidR="00EA7225" w:rsidRDefault="00CC5795" w:rsidP="00E76487">
      <w:pPr>
        <w:pStyle w:val="Textbullet"/>
        <w:widowControl w:val="0"/>
        <w:numPr>
          <w:ilvl w:val="0"/>
          <w:numId w:val="0"/>
        </w:numPr>
        <w:rPr>
          <w:b/>
          <w:lang w:val="en-GB"/>
        </w:rPr>
      </w:pPr>
      <w:r w:rsidRPr="00D170F3">
        <w:rPr>
          <w:b/>
          <w:lang w:val="en-GB"/>
        </w:rPr>
        <w:t>Chronic schistosomiasis</w:t>
      </w:r>
    </w:p>
    <w:p w14:paraId="1FB4FABF" w14:textId="66FB5C59" w:rsidR="00843E15" w:rsidRDefault="002E2B8C" w:rsidP="00E76487">
      <w:pPr>
        <w:pStyle w:val="Textbullet"/>
        <w:widowControl w:val="0"/>
        <w:numPr>
          <w:ilvl w:val="0"/>
          <w:numId w:val="0"/>
        </w:numPr>
        <w:rPr>
          <w:lang w:val="en-GB"/>
        </w:rPr>
      </w:pPr>
      <w:r>
        <w:rPr>
          <w:color w:val="auto"/>
          <w:lang w:val="en-GB" w:eastAsia="en-GB"/>
        </w:rPr>
        <w:t xml:space="preserve">Manage as recommended in PHC STGs and EML, section 10.12: </w:t>
      </w:r>
      <w:r w:rsidRPr="002E2B8C">
        <w:rPr>
          <w:color w:val="auto"/>
          <w:lang w:val="en-GB" w:eastAsia="en-GB"/>
        </w:rPr>
        <w:t>Schistosomiasis (bilharzia)</w:t>
      </w:r>
      <w:r>
        <w:rPr>
          <w:color w:val="auto"/>
          <w:lang w:val="en-GB" w:eastAsia="en-GB"/>
        </w:rPr>
        <w:t>.</w:t>
      </w:r>
    </w:p>
    <w:p w14:paraId="5D324A73" w14:textId="1137267A" w:rsidR="00037744" w:rsidRDefault="00037744" w:rsidP="00E76487">
      <w:pPr>
        <w:pStyle w:val="Textbullet"/>
        <w:widowControl w:val="0"/>
        <w:numPr>
          <w:ilvl w:val="0"/>
          <w:numId w:val="0"/>
        </w:numPr>
        <w:rPr>
          <w:lang w:val="en-GB"/>
        </w:rPr>
      </w:pPr>
    </w:p>
    <w:p w14:paraId="0BCBC5D4" w14:textId="7ACFB9CF" w:rsidR="002059B5" w:rsidRDefault="002059B5" w:rsidP="00E76487">
      <w:pPr>
        <w:pStyle w:val="Textbullet"/>
        <w:widowControl w:val="0"/>
        <w:numPr>
          <w:ilvl w:val="0"/>
          <w:numId w:val="0"/>
        </w:numPr>
        <w:rPr>
          <w:lang w:val="en-GB"/>
        </w:rPr>
      </w:pPr>
    </w:p>
    <w:p w14:paraId="0E1842A6" w14:textId="4657D1E3" w:rsidR="00B81570" w:rsidRDefault="00B81570" w:rsidP="00E76487">
      <w:pPr>
        <w:pStyle w:val="Textbullet"/>
        <w:widowControl w:val="0"/>
        <w:numPr>
          <w:ilvl w:val="0"/>
          <w:numId w:val="0"/>
        </w:numPr>
        <w:rPr>
          <w:lang w:val="en-GB"/>
        </w:rPr>
      </w:pPr>
    </w:p>
    <w:p w14:paraId="321BC310" w14:textId="77777777" w:rsidR="00B81570" w:rsidRDefault="00B81570" w:rsidP="00E76487">
      <w:pPr>
        <w:pStyle w:val="Textbullet"/>
        <w:widowControl w:val="0"/>
        <w:numPr>
          <w:ilvl w:val="0"/>
          <w:numId w:val="0"/>
        </w:numPr>
        <w:rPr>
          <w:lang w:val="en-GB"/>
        </w:rPr>
      </w:pPr>
    </w:p>
    <w:p w14:paraId="167BAA98" w14:textId="77777777" w:rsidR="006D4FB6" w:rsidRPr="00802C75" w:rsidRDefault="006D4FB6" w:rsidP="006D4FB6">
      <w:pPr>
        <w:pStyle w:val="Heading1"/>
        <w:rPr>
          <w:rFonts w:cs="Arial"/>
          <w:lang w:val="en-GB"/>
        </w:rPr>
      </w:pPr>
      <w:r w:rsidRPr="00802C75">
        <w:rPr>
          <w:rFonts w:cs="Arial"/>
          <w:lang w:val="en-GB"/>
        </w:rPr>
        <w:t>9.</w:t>
      </w:r>
      <w:r w:rsidR="007D6517">
        <w:rPr>
          <w:rFonts w:cs="Arial"/>
          <w:lang w:val="en-GB"/>
        </w:rPr>
        <w:t>9</w:t>
      </w:r>
      <w:r w:rsidR="007D6517" w:rsidRPr="00802C75">
        <w:rPr>
          <w:rFonts w:cs="Arial"/>
          <w:lang w:val="en-GB"/>
        </w:rPr>
        <w:t xml:space="preserve"> </w:t>
      </w:r>
      <w:r w:rsidRPr="00802C75">
        <w:rPr>
          <w:rFonts w:cs="Arial"/>
          <w:lang w:val="en-GB"/>
        </w:rPr>
        <w:t xml:space="preserve">TETANUS </w:t>
      </w:r>
    </w:p>
    <w:p w14:paraId="214C362E" w14:textId="77777777" w:rsidR="006D4FB6" w:rsidRPr="00802C75" w:rsidRDefault="006D4FB6" w:rsidP="006D4FB6">
      <w:pPr>
        <w:pStyle w:val="ICD10heading"/>
        <w:rPr>
          <w:lang w:val="en-GB"/>
        </w:rPr>
      </w:pPr>
      <w:r w:rsidRPr="00802C75">
        <w:rPr>
          <w:lang w:val="en-GB"/>
        </w:rPr>
        <w:t>A35</w:t>
      </w:r>
    </w:p>
    <w:p w14:paraId="03C73597" w14:textId="0B422011" w:rsidR="006D4FB6" w:rsidRPr="00802C75" w:rsidRDefault="006D4FB6" w:rsidP="006D4FB6">
      <w:pPr>
        <w:rPr>
          <w:lang w:val="en-GB"/>
        </w:rPr>
      </w:pPr>
      <w:r w:rsidRPr="00802C75">
        <w:rPr>
          <w:lang w:val="en-GB"/>
        </w:rPr>
        <w:t>*</w:t>
      </w:r>
      <w:r w:rsidR="00CE4E8A">
        <w:rPr>
          <w:lang w:val="en-GB"/>
        </w:rPr>
        <w:t>N</w:t>
      </w:r>
      <w:r w:rsidRPr="00802C75">
        <w:rPr>
          <w:lang w:val="en-GB"/>
        </w:rPr>
        <w:t xml:space="preserve">otifiable </w:t>
      </w:r>
      <w:r w:rsidR="002059B5">
        <w:rPr>
          <w:lang w:val="en-GB"/>
        </w:rPr>
        <w:t>medical condition.</w:t>
      </w:r>
    </w:p>
    <w:p w14:paraId="0C5FA226" w14:textId="77777777" w:rsidR="006D4FB6" w:rsidRPr="00332747" w:rsidRDefault="006D4FB6" w:rsidP="006D4FB6">
      <w:pPr>
        <w:rPr>
          <w:sz w:val="16"/>
          <w:lang w:val="en-GB"/>
        </w:rPr>
      </w:pPr>
    </w:p>
    <w:p w14:paraId="7F0302F4" w14:textId="77777777" w:rsidR="005E3628" w:rsidRDefault="005E3628" w:rsidP="009D2304">
      <w:pPr>
        <w:pStyle w:val="Heading3"/>
        <w:keepNext w:val="0"/>
        <w:widowControl w:val="0"/>
        <w:rPr>
          <w:lang w:val="en-GB"/>
        </w:rPr>
      </w:pPr>
      <w:r>
        <w:rPr>
          <w:lang w:val="en-GB"/>
        </w:rPr>
        <w:t>DESCRIPTION</w:t>
      </w:r>
    </w:p>
    <w:p w14:paraId="46961B87" w14:textId="23A7AE81" w:rsidR="005E3628" w:rsidRPr="00453E32" w:rsidRDefault="00CA1386" w:rsidP="009D2304">
      <w:pPr>
        <w:pStyle w:val="Heading3"/>
        <w:keepNext w:val="0"/>
        <w:widowControl w:val="0"/>
        <w:jc w:val="both"/>
        <w:rPr>
          <w:b w:val="0"/>
          <w:sz w:val="18"/>
          <w:lang w:val="en-GB"/>
        </w:rPr>
      </w:pPr>
      <w:r w:rsidRPr="00453E32">
        <w:rPr>
          <w:b w:val="0"/>
          <w:caps w:val="0"/>
          <w:sz w:val="18"/>
          <w:lang w:val="en-GB"/>
        </w:rPr>
        <w:t>Painful muscle spasms and rigidity</w:t>
      </w:r>
      <w:r w:rsidR="001B594E" w:rsidRPr="00453E32">
        <w:rPr>
          <w:b w:val="0"/>
          <w:caps w:val="0"/>
          <w:sz w:val="18"/>
          <w:lang w:val="en-GB"/>
        </w:rPr>
        <w:t xml:space="preserve"> following inoculation </w:t>
      </w:r>
      <w:r w:rsidR="00DF59BD" w:rsidRPr="00453E32">
        <w:rPr>
          <w:b w:val="0"/>
          <w:caps w:val="0"/>
          <w:sz w:val="18"/>
          <w:lang w:val="en-GB"/>
        </w:rPr>
        <w:t xml:space="preserve">by trauma </w:t>
      </w:r>
      <w:r w:rsidR="001B594E" w:rsidRPr="00453E32">
        <w:rPr>
          <w:b w:val="0"/>
          <w:caps w:val="0"/>
          <w:sz w:val="18"/>
          <w:lang w:val="en-GB"/>
        </w:rPr>
        <w:t>of</w:t>
      </w:r>
      <w:r w:rsidR="00EF519C" w:rsidRPr="00453E32">
        <w:rPr>
          <w:b w:val="0"/>
          <w:caps w:val="0"/>
          <w:sz w:val="18"/>
          <w:lang w:val="en-GB"/>
        </w:rPr>
        <w:t xml:space="preserve"> </w:t>
      </w:r>
      <w:r w:rsidR="001B594E" w:rsidRPr="00453E32">
        <w:rPr>
          <w:b w:val="0"/>
          <w:i/>
          <w:caps w:val="0"/>
          <w:sz w:val="18"/>
          <w:lang w:val="en-GB"/>
        </w:rPr>
        <w:t>Clostridium tetani</w:t>
      </w:r>
      <w:r w:rsidR="001B594E" w:rsidRPr="00453E32">
        <w:rPr>
          <w:b w:val="0"/>
          <w:caps w:val="0"/>
          <w:sz w:val="18"/>
          <w:lang w:val="en-GB"/>
        </w:rPr>
        <w:t xml:space="preserve"> spores</w:t>
      </w:r>
      <w:r w:rsidR="00EF519C" w:rsidRPr="00453E32">
        <w:rPr>
          <w:b w:val="0"/>
          <w:caps w:val="0"/>
          <w:sz w:val="18"/>
          <w:lang w:val="en-GB"/>
        </w:rPr>
        <w:t xml:space="preserve">, which germinate and produce toxins. </w:t>
      </w:r>
      <w:r w:rsidR="00CB7C74" w:rsidRPr="00453E32">
        <w:rPr>
          <w:b w:val="0"/>
          <w:caps w:val="0"/>
          <w:sz w:val="18"/>
          <w:lang w:val="en-GB"/>
        </w:rPr>
        <w:t xml:space="preserve">The wound </w:t>
      </w:r>
      <w:r w:rsidR="005E1E58" w:rsidRPr="00453E32">
        <w:rPr>
          <w:b w:val="0"/>
          <w:caps w:val="0"/>
          <w:sz w:val="18"/>
          <w:lang w:val="en-GB"/>
        </w:rPr>
        <w:t xml:space="preserve">may be </w:t>
      </w:r>
      <w:proofErr w:type="gramStart"/>
      <w:r w:rsidR="005E1E58" w:rsidRPr="00453E32">
        <w:rPr>
          <w:b w:val="0"/>
          <w:caps w:val="0"/>
          <w:sz w:val="18"/>
          <w:lang w:val="en-GB"/>
        </w:rPr>
        <w:t>trivial</w:t>
      </w:r>
      <w:proofErr w:type="gramEnd"/>
      <w:r w:rsidR="005E1E58" w:rsidRPr="00453E32">
        <w:rPr>
          <w:b w:val="0"/>
          <w:caps w:val="0"/>
          <w:sz w:val="18"/>
          <w:lang w:val="en-GB"/>
        </w:rPr>
        <w:t xml:space="preserve"> and healing may have occurred before presentation. </w:t>
      </w:r>
      <w:r w:rsidR="00CB7C74" w:rsidRPr="00453E32">
        <w:rPr>
          <w:b w:val="0"/>
          <w:caps w:val="0"/>
          <w:sz w:val="18"/>
          <w:lang w:val="en-GB"/>
        </w:rPr>
        <w:t xml:space="preserve">Incubation period is 3-21 days. </w:t>
      </w:r>
      <w:r w:rsidR="005E1E58" w:rsidRPr="00453E32">
        <w:rPr>
          <w:b w:val="0"/>
          <w:caps w:val="0"/>
          <w:sz w:val="18"/>
          <w:lang w:val="en-GB"/>
        </w:rPr>
        <w:t>Tetanus may be localised, with muscle spasms near the site of inoculation</w:t>
      </w:r>
      <w:r w:rsidR="00DF59BD" w:rsidRPr="00453E32">
        <w:rPr>
          <w:b w:val="0"/>
          <w:caps w:val="0"/>
          <w:sz w:val="18"/>
          <w:lang w:val="en-GB"/>
        </w:rPr>
        <w:t>, or generalised</w:t>
      </w:r>
      <w:r w:rsidR="003A13C7" w:rsidRPr="00453E32">
        <w:rPr>
          <w:b w:val="0"/>
          <w:caps w:val="0"/>
          <w:sz w:val="18"/>
          <w:lang w:val="en-GB"/>
        </w:rPr>
        <w:t>, with spasm of the jaw muscles being a common presenting sign</w:t>
      </w:r>
      <w:r w:rsidR="005E1E58" w:rsidRPr="00453E32">
        <w:rPr>
          <w:b w:val="0"/>
          <w:caps w:val="0"/>
          <w:sz w:val="18"/>
          <w:lang w:val="en-GB"/>
        </w:rPr>
        <w:t xml:space="preserve">. </w:t>
      </w:r>
    </w:p>
    <w:p w14:paraId="03D4BD37" w14:textId="77777777" w:rsidR="0037300B" w:rsidRPr="0037300B" w:rsidRDefault="0037300B" w:rsidP="00CA1386">
      <w:pPr>
        <w:rPr>
          <w:lang w:val="en-GB"/>
        </w:rPr>
      </w:pPr>
    </w:p>
    <w:p w14:paraId="4BDC3970" w14:textId="31954573" w:rsidR="006D4FB6" w:rsidRDefault="006D4FB6" w:rsidP="006D4FB6">
      <w:pPr>
        <w:pStyle w:val="Heading3"/>
        <w:rPr>
          <w:lang w:val="en-GB"/>
        </w:rPr>
      </w:pPr>
      <w:r w:rsidRPr="00802C75">
        <w:rPr>
          <w:lang w:val="en-GB"/>
        </w:rPr>
        <w:t>General measures</w:t>
      </w:r>
    </w:p>
    <w:p w14:paraId="5A9448EA" w14:textId="77777777" w:rsidR="00091A8F" w:rsidRPr="00D656E2" w:rsidRDefault="00C53E66" w:rsidP="00091A8F">
      <w:pPr>
        <w:rPr>
          <w:color w:val="auto"/>
          <w:lang w:val="en-GB"/>
        </w:rPr>
      </w:pPr>
      <w:r w:rsidRPr="00D656E2">
        <w:rPr>
          <w:color w:val="auto"/>
          <w:lang w:val="en-GB"/>
        </w:rPr>
        <w:t xml:space="preserve">These patients need to be managed in a </w:t>
      </w:r>
      <w:r w:rsidR="00D656E2" w:rsidRPr="00D656E2">
        <w:rPr>
          <w:color w:val="auto"/>
          <w:lang w:val="en-GB"/>
        </w:rPr>
        <w:t>high care setting where ventilation</w:t>
      </w:r>
      <w:r w:rsidRPr="00D656E2">
        <w:rPr>
          <w:color w:val="auto"/>
          <w:lang w:val="en-GB"/>
        </w:rPr>
        <w:t xml:space="preserve"> is available.</w:t>
      </w:r>
    </w:p>
    <w:p w14:paraId="05BE20F0" w14:textId="77777777" w:rsidR="006D4FB6" w:rsidRPr="00D656E2" w:rsidRDefault="006D4FB6" w:rsidP="006D4FB6">
      <w:pPr>
        <w:rPr>
          <w:color w:val="auto"/>
          <w:lang w:val="en-GB"/>
        </w:rPr>
      </w:pPr>
      <w:r w:rsidRPr="00D656E2">
        <w:rPr>
          <w:color w:val="auto"/>
          <w:lang w:val="en-GB"/>
        </w:rPr>
        <w:t>Maintain</w:t>
      </w:r>
      <w:r w:rsidR="001806F4" w:rsidRPr="00D656E2">
        <w:rPr>
          <w:color w:val="auto"/>
          <w:lang w:val="en-GB"/>
        </w:rPr>
        <w:t xml:space="preserve"> and protect</w:t>
      </w:r>
      <w:r w:rsidRPr="00D656E2">
        <w:rPr>
          <w:color w:val="auto"/>
          <w:lang w:val="en-GB"/>
        </w:rPr>
        <w:t xml:space="preserve"> airway.</w:t>
      </w:r>
    </w:p>
    <w:p w14:paraId="6A024830" w14:textId="77777777" w:rsidR="006D4FB6" w:rsidRPr="00802C75" w:rsidRDefault="006D4FB6" w:rsidP="006D4FB6">
      <w:pPr>
        <w:rPr>
          <w:lang w:val="en-GB"/>
        </w:rPr>
      </w:pPr>
      <w:r w:rsidRPr="00802C75">
        <w:rPr>
          <w:lang w:val="en-GB"/>
        </w:rPr>
        <w:t>Monitor ECG and blood pressure.</w:t>
      </w:r>
    </w:p>
    <w:p w14:paraId="749851B2" w14:textId="77777777" w:rsidR="006D4FB6" w:rsidRPr="00802C75" w:rsidRDefault="006D4FB6" w:rsidP="006D4FB6">
      <w:pPr>
        <w:rPr>
          <w:lang w:val="en-GB"/>
        </w:rPr>
      </w:pPr>
      <w:r w:rsidRPr="00802C75">
        <w:rPr>
          <w:lang w:val="en-GB"/>
        </w:rPr>
        <w:t>Maintain and replace IV fluids.</w:t>
      </w:r>
    </w:p>
    <w:p w14:paraId="128307F6" w14:textId="77777777" w:rsidR="006D4FB6" w:rsidRDefault="006D4FB6" w:rsidP="006D4FB6">
      <w:pPr>
        <w:rPr>
          <w:lang w:val="en-GB"/>
        </w:rPr>
      </w:pPr>
      <w:r w:rsidRPr="00802C75">
        <w:rPr>
          <w:lang w:val="en-GB"/>
        </w:rPr>
        <w:t>Wound management is essential with debridement and removal of any foreign bodies.</w:t>
      </w:r>
    </w:p>
    <w:p w14:paraId="47D52A3B" w14:textId="77777777" w:rsidR="00853C48" w:rsidRPr="00802C75" w:rsidRDefault="00853C48" w:rsidP="006D4FB6">
      <w:pPr>
        <w:rPr>
          <w:lang w:val="en-GB"/>
        </w:rPr>
      </w:pPr>
      <w:r>
        <w:rPr>
          <w:lang w:val="en-GB"/>
        </w:rPr>
        <w:t>Alleviate fever with mechanical cooling methods.</w:t>
      </w:r>
    </w:p>
    <w:p w14:paraId="57C1E64F" w14:textId="77777777" w:rsidR="006D4FB6" w:rsidRPr="00332747" w:rsidRDefault="006D4FB6" w:rsidP="006D4FB6">
      <w:pPr>
        <w:rPr>
          <w:sz w:val="16"/>
          <w:lang w:val="en-GB"/>
        </w:rPr>
      </w:pPr>
    </w:p>
    <w:p w14:paraId="44AD4C7A" w14:textId="77777777" w:rsidR="006D4FB6" w:rsidRPr="00802C75" w:rsidRDefault="006D4FB6" w:rsidP="006D4FB6">
      <w:pPr>
        <w:pStyle w:val="Heading3"/>
        <w:rPr>
          <w:lang w:val="en-GB"/>
        </w:rPr>
      </w:pPr>
      <w:r w:rsidRPr="00802C75">
        <w:rPr>
          <w:lang w:val="en-GB"/>
        </w:rPr>
        <w:t>Medicine treatment</w:t>
      </w:r>
    </w:p>
    <w:p w14:paraId="475BADC0" w14:textId="77777777" w:rsidR="006D4FB6" w:rsidRPr="00E32B04" w:rsidRDefault="006D4FB6" w:rsidP="006D4FB6">
      <w:pPr>
        <w:rPr>
          <w:lang w:val="en-GB"/>
        </w:rPr>
      </w:pPr>
      <w:r w:rsidRPr="00802C75">
        <w:rPr>
          <w:u w:val="single"/>
          <w:lang w:val="en-GB"/>
        </w:rPr>
        <w:t>For rigidity, spasms:</w:t>
      </w:r>
      <w:r w:rsidR="00E32B04">
        <w:rPr>
          <w:lang w:val="en-GB"/>
        </w:rPr>
        <w:t xml:space="preserve"> </w:t>
      </w:r>
      <w:r w:rsidR="00E32B04" w:rsidRPr="00A95734">
        <w:rPr>
          <w:sz w:val="16"/>
          <w:lang w:val="en-GB"/>
        </w:rPr>
        <w:t>(R25.2)</w:t>
      </w:r>
    </w:p>
    <w:p w14:paraId="232578E4" w14:textId="77777777" w:rsidR="00967BD8" w:rsidRPr="00802C75" w:rsidRDefault="006D4FB6" w:rsidP="002059B5">
      <w:pPr>
        <w:pStyle w:val="Medicinebullet1"/>
        <w:numPr>
          <w:ilvl w:val="0"/>
          <w:numId w:val="3"/>
        </w:numPr>
        <w:ind w:left="284" w:hanging="284"/>
        <w:rPr>
          <w:rFonts w:cs="Arial"/>
          <w:lang w:val="en-GB"/>
        </w:rPr>
      </w:pPr>
      <w:r w:rsidRPr="00802C75">
        <w:rPr>
          <w:rFonts w:cs="Arial"/>
          <w:lang w:val="en-GB"/>
        </w:rPr>
        <w:t>Diazepam, IV, 10 mg 4 hourly, for 24 hours, then consider oral route</w:t>
      </w:r>
      <w:r w:rsidR="00726E08" w:rsidRPr="00802C75">
        <w:rPr>
          <w:rFonts w:cs="Arial"/>
          <w:lang w:val="en-GB"/>
        </w:rPr>
        <w:t xml:space="preserve"> as high doses of parentral diazepam can cause an acidosis</w:t>
      </w:r>
      <w:r w:rsidRPr="00802C75">
        <w:rPr>
          <w:rFonts w:cs="Arial"/>
          <w:lang w:val="en-GB"/>
        </w:rPr>
        <w:t xml:space="preserve">. </w:t>
      </w:r>
    </w:p>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
      </w:tblGrid>
      <w:tr w:rsidR="00967BD8" w:rsidRPr="002311E0" w14:paraId="3D0A5DFF" w14:textId="77777777" w:rsidTr="00CB690F">
        <w:tc>
          <w:tcPr>
            <w:tcW w:w="1134" w:type="dxa"/>
            <w:shd w:val="clear" w:color="auto" w:fill="auto"/>
          </w:tcPr>
          <w:p w14:paraId="6F9B8A02" w14:textId="4DB9334E" w:rsidR="00967BD8" w:rsidRPr="002311E0" w:rsidRDefault="00967BD8" w:rsidP="00CB690F">
            <w:pPr>
              <w:jc w:val="right"/>
              <w:rPr>
                <w:b/>
                <w:i/>
                <w:sz w:val="16"/>
              </w:rPr>
            </w:pPr>
            <w:proofErr w:type="spellStart"/>
            <w:r w:rsidRPr="002311E0">
              <w:rPr>
                <w:i/>
                <w:sz w:val="16"/>
              </w:rPr>
              <w:t>LoE:I</w:t>
            </w:r>
            <w:r w:rsidR="00C728E1">
              <w:rPr>
                <w:i/>
                <w:sz w:val="16"/>
              </w:rPr>
              <w:t>IIb</w:t>
            </w:r>
            <w:proofErr w:type="spellEnd"/>
            <w:r w:rsidRPr="002311E0">
              <w:rPr>
                <w:i/>
                <w:sz w:val="16"/>
                <w:vertAlign w:val="superscript"/>
              </w:rPr>
              <w:endnoteReference w:id="31"/>
            </w:r>
          </w:p>
        </w:tc>
      </w:tr>
    </w:tbl>
    <w:p w14:paraId="51C4CF6F" w14:textId="77777777" w:rsidR="00FE5598" w:rsidRPr="00967BD8" w:rsidRDefault="00FE5598" w:rsidP="00967BD8">
      <w:pPr>
        <w:pStyle w:val="Medicinebullet1"/>
        <w:ind w:left="360"/>
        <w:rPr>
          <w:rFonts w:cs="Arial"/>
          <w:sz w:val="2"/>
          <w:lang w:val="en-GB"/>
        </w:rPr>
      </w:pPr>
    </w:p>
    <w:p w14:paraId="0656C053" w14:textId="77777777" w:rsidR="006D4FB6" w:rsidRPr="00FE5598" w:rsidRDefault="006D4FB6" w:rsidP="00FE5598">
      <w:pPr>
        <w:pStyle w:val="Medicinebullet1"/>
        <w:ind w:left="360"/>
        <w:rPr>
          <w:rFonts w:cs="Arial"/>
          <w:sz w:val="2"/>
          <w:lang w:val="en-GB"/>
        </w:rPr>
      </w:pPr>
    </w:p>
    <w:p w14:paraId="491CF250" w14:textId="77777777" w:rsidR="006D4FB6" w:rsidRPr="00802C75" w:rsidRDefault="006D4FB6" w:rsidP="002059B5">
      <w:pPr>
        <w:numPr>
          <w:ilvl w:val="0"/>
          <w:numId w:val="7"/>
        </w:numPr>
        <w:tabs>
          <w:tab w:val="clear" w:pos="2694"/>
          <w:tab w:val="clear" w:pos="2977"/>
        </w:tabs>
        <w:ind w:left="567" w:hanging="283"/>
        <w:rPr>
          <w:lang w:val="en-GB"/>
        </w:rPr>
      </w:pPr>
      <w:r w:rsidRPr="00802C75">
        <w:rPr>
          <w:lang w:val="en-GB"/>
        </w:rPr>
        <w:t>Titrate to effect.</w:t>
      </w:r>
    </w:p>
    <w:p w14:paraId="7688CFCF" w14:textId="77777777" w:rsidR="006D4FB6" w:rsidRDefault="006D4FB6" w:rsidP="002059B5">
      <w:pPr>
        <w:numPr>
          <w:ilvl w:val="0"/>
          <w:numId w:val="7"/>
        </w:numPr>
        <w:tabs>
          <w:tab w:val="clear" w:pos="2694"/>
          <w:tab w:val="clear" w:pos="2977"/>
        </w:tabs>
        <w:ind w:left="567" w:hanging="283"/>
        <w:rPr>
          <w:lang w:val="en-GB"/>
        </w:rPr>
      </w:pPr>
      <w:r w:rsidRPr="00802C75">
        <w:rPr>
          <w:lang w:val="en-GB"/>
        </w:rPr>
        <w:t xml:space="preserve">Doses as high as 50–100 mg 2 hourly are sometimes </w:t>
      </w:r>
      <w:r w:rsidR="00F77E7A">
        <w:rPr>
          <w:lang w:val="en-GB"/>
        </w:rPr>
        <w:t>required</w:t>
      </w:r>
      <w:r w:rsidRPr="00802C75">
        <w:rPr>
          <w:lang w:val="en-GB"/>
        </w:rPr>
        <w:t xml:space="preserve">. </w:t>
      </w:r>
    </w:p>
    <w:p w14:paraId="799935DA" w14:textId="77777777" w:rsidR="00C53E66" w:rsidRPr="002311E0" w:rsidRDefault="00C53E66" w:rsidP="002059B5">
      <w:pPr>
        <w:numPr>
          <w:ilvl w:val="0"/>
          <w:numId w:val="7"/>
        </w:numPr>
        <w:tabs>
          <w:tab w:val="clear" w:pos="2694"/>
          <w:tab w:val="clear" w:pos="2977"/>
        </w:tabs>
        <w:ind w:left="567" w:hanging="283"/>
        <w:rPr>
          <w:lang w:val="en-GB"/>
        </w:rPr>
      </w:pPr>
      <w:r w:rsidRPr="002311E0">
        <w:rPr>
          <w:lang w:val="en-GB"/>
        </w:rPr>
        <w:t>High</w:t>
      </w:r>
      <w:r w:rsidR="00302807" w:rsidRPr="002311E0">
        <w:rPr>
          <w:lang w:val="en-GB"/>
        </w:rPr>
        <w:t>er</w:t>
      </w:r>
      <w:r w:rsidRPr="002311E0">
        <w:rPr>
          <w:lang w:val="en-GB"/>
        </w:rPr>
        <w:t xml:space="preserve"> doses require </w:t>
      </w:r>
      <w:r w:rsidR="002311E0" w:rsidRPr="002311E0">
        <w:rPr>
          <w:lang w:val="en-GB"/>
        </w:rPr>
        <w:t>monitoring for respiratory depression.</w:t>
      </w:r>
    </w:p>
    <w:p w14:paraId="05B3DD91" w14:textId="7F6D17AA" w:rsidR="006D4FB6" w:rsidRPr="00F90C62" w:rsidRDefault="00F90C62" w:rsidP="006D4FB6">
      <w:pPr>
        <w:rPr>
          <w:spacing w:val="-2"/>
          <w:lang w:val="en-GB"/>
        </w:rPr>
      </w:pPr>
      <w:r w:rsidRPr="00F90C62">
        <w:rPr>
          <w:spacing w:val="-2"/>
          <w:lang w:val="en-GB"/>
        </w:rPr>
        <w:t>Use m</w:t>
      </w:r>
      <w:r w:rsidR="006D4FB6" w:rsidRPr="00F90C62">
        <w:rPr>
          <w:spacing w:val="-2"/>
          <w:lang w:val="en-GB"/>
        </w:rPr>
        <w:t xml:space="preserve">uscle relaxants sparingly </w:t>
      </w:r>
      <w:r w:rsidRPr="00F90C62">
        <w:rPr>
          <w:spacing w:val="-2"/>
          <w:lang w:val="en-GB"/>
        </w:rPr>
        <w:t xml:space="preserve">as these </w:t>
      </w:r>
      <w:r w:rsidR="006D4FB6" w:rsidRPr="00F90C62">
        <w:rPr>
          <w:spacing w:val="-2"/>
          <w:lang w:val="en-GB"/>
        </w:rPr>
        <w:t xml:space="preserve">may exacerbate autonomic instability. </w:t>
      </w:r>
    </w:p>
    <w:p w14:paraId="6047B068" w14:textId="77777777" w:rsidR="006D4FB6" w:rsidRPr="00F90C62" w:rsidRDefault="006D4FB6" w:rsidP="006D4FB6">
      <w:pPr>
        <w:rPr>
          <w:sz w:val="10"/>
          <w:szCs w:val="16"/>
          <w:lang w:val="en-GB"/>
        </w:rPr>
      </w:pPr>
    </w:p>
    <w:p w14:paraId="3947707B" w14:textId="77777777" w:rsidR="006D4FB6" w:rsidRPr="00802C75" w:rsidRDefault="000813E6" w:rsidP="006D4FB6">
      <w:pPr>
        <w:rPr>
          <w:u w:val="single"/>
          <w:lang w:val="en-GB"/>
        </w:rPr>
      </w:pPr>
      <w:r w:rsidRPr="00802C75">
        <w:rPr>
          <w:u w:val="single"/>
          <w:lang w:val="en-GB"/>
        </w:rPr>
        <w:t>Antibiotic treatment</w:t>
      </w:r>
      <w:r w:rsidR="006D4FB6" w:rsidRPr="00802C75">
        <w:rPr>
          <w:u w:val="single"/>
          <w:lang w:val="en-GB"/>
        </w:rPr>
        <w:t>:</w:t>
      </w:r>
    </w:p>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
      </w:tblGrid>
      <w:tr w:rsidR="00BC502A" w:rsidRPr="002311E0" w14:paraId="2B2C0744" w14:textId="77777777" w:rsidTr="007F7C88">
        <w:tc>
          <w:tcPr>
            <w:tcW w:w="1134" w:type="dxa"/>
            <w:shd w:val="clear" w:color="auto" w:fill="auto"/>
          </w:tcPr>
          <w:p w14:paraId="2E7A76CB" w14:textId="7BCB3CA6" w:rsidR="00BC502A" w:rsidRPr="002311E0" w:rsidRDefault="00BC502A" w:rsidP="007F7C88">
            <w:pPr>
              <w:jc w:val="right"/>
              <w:rPr>
                <w:b/>
                <w:i/>
                <w:sz w:val="16"/>
              </w:rPr>
            </w:pPr>
            <w:proofErr w:type="spellStart"/>
            <w:r w:rsidRPr="002311E0">
              <w:rPr>
                <w:i/>
                <w:sz w:val="16"/>
              </w:rPr>
              <w:t>LoE:</w:t>
            </w:r>
            <w:r>
              <w:rPr>
                <w:i/>
                <w:sz w:val="16"/>
              </w:rPr>
              <w:t>II</w:t>
            </w:r>
            <w:r w:rsidRPr="002311E0">
              <w:rPr>
                <w:i/>
                <w:sz w:val="16"/>
              </w:rPr>
              <w:t>I</w:t>
            </w:r>
            <w:r w:rsidR="00C728E1">
              <w:rPr>
                <w:i/>
                <w:sz w:val="16"/>
              </w:rPr>
              <w:t>b</w:t>
            </w:r>
            <w:proofErr w:type="spellEnd"/>
            <w:r w:rsidRPr="002311E0">
              <w:rPr>
                <w:i/>
                <w:sz w:val="16"/>
                <w:vertAlign w:val="superscript"/>
              </w:rPr>
              <w:endnoteReference w:id="32"/>
            </w:r>
          </w:p>
        </w:tc>
      </w:tr>
    </w:tbl>
    <w:p w14:paraId="6165CF54" w14:textId="77777777" w:rsidR="006D4FB6" w:rsidRPr="00802C75" w:rsidRDefault="006D4FB6" w:rsidP="00BC502A">
      <w:pPr>
        <w:pStyle w:val="Medicinebullet1"/>
        <w:numPr>
          <w:ilvl w:val="0"/>
          <w:numId w:val="3"/>
        </w:numPr>
        <w:ind w:left="284" w:hanging="284"/>
        <w:rPr>
          <w:rFonts w:cs="Arial"/>
          <w:lang w:val="en-GB"/>
        </w:rPr>
      </w:pPr>
      <w:r w:rsidRPr="00802C75">
        <w:rPr>
          <w:rFonts w:cs="Arial"/>
          <w:lang w:val="en-GB"/>
        </w:rPr>
        <w:t xml:space="preserve">Metronidazole, </w:t>
      </w:r>
      <w:r w:rsidR="00AA7DD2" w:rsidRPr="00802C75">
        <w:rPr>
          <w:rFonts w:cs="Arial"/>
          <w:lang w:val="en-GB"/>
        </w:rPr>
        <w:t>IV</w:t>
      </w:r>
      <w:r w:rsidRPr="00802C75">
        <w:rPr>
          <w:rFonts w:cs="Arial"/>
          <w:lang w:val="en-GB"/>
        </w:rPr>
        <w:t xml:space="preserve">, </w:t>
      </w:r>
      <w:r w:rsidR="00AA7DD2" w:rsidRPr="00802C75">
        <w:rPr>
          <w:rFonts w:cs="Arial"/>
          <w:lang w:val="en-GB"/>
        </w:rPr>
        <w:t>5</w:t>
      </w:r>
      <w:r w:rsidRPr="00802C75">
        <w:rPr>
          <w:rFonts w:cs="Arial"/>
          <w:lang w:val="en-GB"/>
        </w:rPr>
        <w:t>00 mg 8 hourly for 10 days.</w:t>
      </w:r>
    </w:p>
    <w:p w14:paraId="19CFA288" w14:textId="77777777" w:rsidR="009A287A" w:rsidRPr="00F90C62" w:rsidRDefault="009A287A" w:rsidP="006D4FB6">
      <w:pPr>
        <w:rPr>
          <w:sz w:val="10"/>
          <w:lang w:val="en-GB"/>
        </w:rPr>
      </w:pPr>
    </w:p>
    <w:p w14:paraId="4D9B0D27" w14:textId="77777777" w:rsidR="006D4FB6" w:rsidRPr="00802C75" w:rsidRDefault="006D4FB6" w:rsidP="006D4FB6">
      <w:pPr>
        <w:rPr>
          <w:u w:val="single"/>
          <w:lang w:val="en-GB"/>
        </w:rPr>
      </w:pPr>
      <w:r w:rsidRPr="00802C75">
        <w:rPr>
          <w:u w:val="single"/>
          <w:lang w:val="en-GB"/>
        </w:rPr>
        <w:t>For passive immunisation:</w:t>
      </w:r>
      <w:r w:rsidR="00E32B04" w:rsidRPr="00E32B04">
        <w:rPr>
          <w:lang w:val="en-GB"/>
        </w:rPr>
        <w:t xml:space="preserve"> </w:t>
      </w:r>
      <w:r w:rsidR="00E32B04" w:rsidRPr="00E32B04">
        <w:rPr>
          <w:sz w:val="16"/>
          <w:lang w:val="en-GB"/>
        </w:rPr>
        <w:t>(</w:t>
      </w:r>
      <w:r w:rsidR="00E32B04">
        <w:rPr>
          <w:sz w:val="16"/>
          <w:lang w:val="en-GB"/>
        </w:rPr>
        <w:t>Z23.5)</w:t>
      </w:r>
    </w:p>
    <w:p w14:paraId="50547186" w14:textId="77777777" w:rsidR="006D4FB6" w:rsidRPr="00802C75" w:rsidRDefault="006D4FB6" w:rsidP="00BC502A">
      <w:pPr>
        <w:pStyle w:val="Medicinebullet1"/>
        <w:numPr>
          <w:ilvl w:val="0"/>
          <w:numId w:val="3"/>
        </w:numPr>
        <w:ind w:left="284" w:hanging="284"/>
        <w:rPr>
          <w:rFonts w:cs="Arial"/>
          <w:lang w:val="en-GB"/>
        </w:rPr>
      </w:pPr>
      <w:r w:rsidRPr="00802C75">
        <w:rPr>
          <w:rFonts w:cs="Arial"/>
          <w:lang w:val="en-GB"/>
        </w:rPr>
        <w:t>Tetanus immunoglobulin, IM, 3 000 units as a single dose.</w:t>
      </w:r>
    </w:p>
    <w:p w14:paraId="52941225" w14:textId="77777777" w:rsidR="008E3B65" w:rsidRPr="00F90C62" w:rsidRDefault="008E3B65" w:rsidP="006D4FB6">
      <w:pPr>
        <w:rPr>
          <w:sz w:val="10"/>
          <w:lang w:val="en-GB"/>
        </w:rPr>
      </w:pPr>
    </w:p>
    <w:p w14:paraId="158907EF" w14:textId="77777777" w:rsidR="006D4FB6" w:rsidRPr="00E32B04" w:rsidRDefault="006D4FB6" w:rsidP="006D4FB6">
      <w:pPr>
        <w:rPr>
          <w:sz w:val="16"/>
          <w:u w:val="single"/>
          <w:lang w:val="en-GB"/>
        </w:rPr>
      </w:pPr>
      <w:r w:rsidRPr="00802C75">
        <w:rPr>
          <w:u w:val="single"/>
          <w:lang w:val="en-GB"/>
        </w:rPr>
        <w:t>For active immunisation of all patients</w:t>
      </w:r>
      <w:r w:rsidR="009A287A" w:rsidRPr="00802C75">
        <w:rPr>
          <w:u w:val="single"/>
          <w:lang w:val="en-GB"/>
        </w:rPr>
        <w:t>:</w:t>
      </w:r>
      <w:r w:rsidR="009A287A" w:rsidRPr="00802C75">
        <w:rPr>
          <w:lang w:val="en-GB"/>
        </w:rPr>
        <w:t>(</w:t>
      </w:r>
      <w:r w:rsidRPr="00802C75">
        <w:rPr>
          <w:lang w:val="en-GB"/>
        </w:rPr>
        <w:t>as clinical tetanus does not always confer immunity</w:t>
      </w:r>
      <w:r w:rsidR="009A287A" w:rsidRPr="00802C75">
        <w:rPr>
          <w:lang w:val="en-GB"/>
        </w:rPr>
        <w:t>)</w:t>
      </w:r>
      <w:r w:rsidR="00E32B04">
        <w:rPr>
          <w:lang w:val="en-GB"/>
        </w:rPr>
        <w:t xml:space="preserve"> </w:t>
      </w:r>
      <w:r w:rsidR="00E32B04">
        <w:rPr>
          <w:sz w:val="16"/>
          <w:lang w:val="en-GB"/>
        </w:rPr>
        <w:t>(Z23.5)</w:t>
      </w:r>
    </w:p>
    <w:p w14:paraId="45022448" w14:textId="77777777" w:rsidR="006D4FB6" w:rsidRPr="00802C75" w:rsidRDefault="006D4FB6" w:rsidP="00BC502A">
      <w:pPr>
        <w:pStyle w:val="Medicinebullet1"/>
        <w:numPr>
          <w:ilvl w:val="0"/>
          <w:numId w:val="3"/>
        </w:numPr>
        <w:ind w:left="284" w:hanging="284"/>
        <w:rPr>
          <w:rFonts w:cs="Arial"/>
          <w:lang w:val="en-GB"/>
        </w:rPr>
      </w:pPr>
      <w:r w:rsidRPr="00802C75">
        <w:rPr>
          <w:rFonts w:cs="Arial"/>
          <w:lang w:val="en-GB"/>
        </w:rPr>
        <w:t xml:space="preserve">Tetanus toxoid vaccine, IM, 0.5 mL, total of 3 doses: </w:t>
      </w:r>
    </w:p>
    <w:p w14:paraId="7E36AA6E" w14:textId="77777777" w:rsidR="00950521" w:rsidRDefault="006D4FB6" w:rsidP="00BC502A">
      <w:pPr>
        <w:numPr>
          <w:ilvl w:val="0"/>
          <w:numId w:val="10"/>
        </w:numPr>
        <w:tabs>
          <w:tab w:val="clear" w:pos="2694"/>
          <w:tab w:val="clear" w:pos="2977"/>
        </w:tabs>
        <w:ind w:left="567" w:hanging="283"/>
        <w:jc w:val="left"/>
        <w:rPr>
          <w:lang w:val="en-GB"/>
        </w:rPr>
      </w:pPr>
      <w:r w:rsidRPr="00802C75">
        <w:rPr>
          <w:lang w:val="en-GB"/>
        </w:rPr>
        <w:t xml:space="preserve">on admission, </w:t>
      </w:r>
    </w:p>
    <w:p w14:paraId="12353AB8" w14:textId="77777777" w:rsidR="00950521" w:rsidRDefault="006D4FB6" w:rsidP="00BC502A">
      <w:pPr>
        <w:numPr>
          <w:ilvl w:val="0"/>
          <w:numId w:val="10"/>
        </w:numPr>
        <w:tabs>
          <w:tab w:val="clear" w:pos="2694"/>
          <w:tab w:val="clear" w:pos="2977"/>
        </w:tabs>
        <w:ind w:left="567" w:hanging="283"/>
        <w:jc w:val="left"/>
        <w:rPr>
          <w:lang w:val="en-GB"/>
        </w:rPr>
      </w:pPr>
      <w:r w:rsidRPr="00802C75">
        <w:rPr>
          <w:lang w:val="en-GB"/>
        </w:rPr>
        <w:t>at 4 weeks, and</w:t>
      </w:r>
    </w:p>
    <w:p w14:paraId="1F1A68F5" w14:textId="77777777" w:rsidR="006D4FB6" w:rsidRPr="00802C75" w:rsidRDefault="006D4FB6" w:rsidP="00BC502A">
      <w:pPr>
        <w:numPr>
          <w:ilvl w:val="0"/>
          <w:numId w:val="7"/>
        </w:numPr>
        <w:tabs>
          <w:tab w:val="clear" w:pos="2694"/>
          <w:tab w:val="clear" w:pos="2977"/>
        </w:tabs>
        <w:ind w:left="567" w:hanging="283"/>
        <w:jc w:val="left"/>
        <w:rPr>
          <w:lang w:val="en-GB"/>
        </w:rPr>
      </w:pPr>
      <w:r w:rsidRPr="00802C75">
        <w:rPr>
          <w:lang w:val="en-GB"/>
        </w:rPr>
        <w:t>at 6 months.</w:t>
      </w:r>
    </w:p>
    <w:p w14:paraId="533936C0" w14:textId="77777777" w:rsidR="001C7E2A" w:rsidRPr="00802C75" w:rsidRDefault="001C7E2A" w:rsidP="00BC502A">
      <w:pPr>
        <w:numPr>
          <w:ilvl w:val="0"/>
          <w:numId w:val="7"/>
        </w:numPr>
        <w:tabs>
          <w:tab w:val="clear" w:pos="2694"/>
          <w:tab w:val="clear" w:pos="2977"/>
        </w:tabs>
        <w:ind w:left="567" w:hanging="283"/>
        <w:rPr>
          <w:lang w:val="en-GB"/>
        </w:rPr>
      </w:pPr>
      <w:r w:rsidRPr="00802C75">
        <w:rPr>
          <w:lang w:val="en-GB"/>
        </w:rPr>
        <w:t>Administer at a different site to that used for administering tetanus immunoglobulin.</w:t>
      </w:r>
    </w:p>
    <w:p w14:paraId="54F642FC" w14:textId="77777777" w:rsidR="00967BD8" w:rsidRPr="00E32B04" w:rsidRDefault="00967BD8" w:rsidP="006D4FB6">
      <w:pPr>
        <w:rPr>
          <w:rFonts w:eastAsia="MS Mincho"/>
          <w:sz w:val="10"/>
          <w:lang w:val="en-GB"/>
        </w:rPr>
      </w:pPr>
    </w:p>
    <w:p w14:paraId="06749238" w14:textId="377187A5" w:rsidR="00853C48" w:rsidRPr="00D656E2" w:rsidRDefault="009434C3" w:rsidP="006D4FB6">
      <w:pPr>
        <w:rPr>
          <w:u w:val="single"/>
          <w:lang w:val="en-GB"/>
        </w:rPr>
      </w:pPr>
      <w:r>
        <w:rPr>
          <w:rFonts w:eastAsia="MS Mincho"/>
          <w:u w:val="single"/>
          <w:lang w:val="en-GB"/>
        </w:rPr>
        <w:t>For p</w:t>
      </w:r>
      <w:r w:rsidR="00B74E86">
        <w:rPr>
          <w:rFonts w:eastAsia="MS Mincho"/>
          <w:u w:val="single"/>
          <w:lang w:val="en-GB"/>
        </w:rPr>
        <w:t>ain</w:t>
      </w:r>
      <w:r>
        <w:rPr>
          <w:rFonts w:eastAsia="MS Mincho"/>
          <w:u w:val="single"/>
          <w:lang w:val="en-GB"/>
        </w:rPr>
        <w:t>:</w:t>
      </w:r>
    </w:p>
    <w:p w14:paraId="411A2B8F" w14:textId="5E350A8D" w:rsidR="00950521" w:rsidRPr="00D656E2" w:rsidRDefault="00F94CF1" w:rsidP="00BC502A">
      <w:pPr>
        <w:numPr>
          <w:ilvl w:val="0"/>
          <w:numId w:val="9"/>
        </w:numPr>
        <w:tabs>
          <w:tab w:val="clear" w:pos="2694"/>
          <w:tab w:val="clear" w:pos="2977"/>
        </w:tabs>
        <w:ind w:left="284" w:hanging="284"/>
        <w:jc w:val="left"/>
        <w:rPr>
          <w:bCs/>
          <w:spacing w:val="-2"/>
          <w:szCs w:val="24"/>
          <w:lang w:val="en-GB"/>
        </w:rPr>
      </w:pPr>
      <w:r w:rsidRPr="00D656E2">
        <w:rPr>
          <w:bCs/>
          <w:spacing w:val="-2"/>
          <w:szCs w:val="24"/>
          <w:lang w:val="en-GB"/>
        </w:rPr>
        <w:lastRenderedPageBreak/>
        <w:t>Paracetamol, oral, 1 g 4–6 hourly when required</w:t>
      </w:r>
      <w:r w:rsidR="009434C3">
        <w:rPr>
          <w:bCs/>
          <w:spacing w:val="-2"/>
          <w:szCs w:val="24"/>
          <w:lang w:val="en-GB"/>
        </w:rPr>
        <w:t>.</w:t>
      </w:r>
    </w:p>
    <w:p w14:paraId="2405F627" w14:textId="77777777" w:rsidR="002311E0" w:rsidRPr="00D656E2" w:rsidRDefault="00F94CF1" w:rsidP="00BC502A">
      <w:pPr>
        <w:numPr>
          <w:ilvl w:val="0"/>
          <w:numId w:val="10"/>
        </w:numPr>
        <w:tabs>
          <w:tab w:val="clear" w:pos="2694"/>
          <w:tab w:val="clear" w:pos="2977"/>
        </w:tabs>
        <w:ind w:left="567" w:hanging="283"/>
        <w:jc w:val="left"/>
        <w:rPr>
          <w:lang w:val="en-GB"/>
        </w:rPr>
      </w:pPr>
      <w:r w:rsidRPr="00D656E2">
        <w:rPr>
          <w:lang w:val="en-GB"/>
        </w:rPr>
        <w:t>Maximum dose: 15 mg/kg</w:t>
      </w:r>
      <w:r w:rsidR="00797FCE" w:rsidRPr="00D656E2">
        <w:rPr>
          <w:lang w:val="en-GB"/>
        </w:rPr>
        <w:t>/dose</w:t>
      </w:r>
      <w:r w:rsidRPr="00D656E2">
        <w:rPr>
          <w:lang w:val="en-GB"/>
        </w:rPr>
        <w:t xml:space="preserve">. </w:t>
      </w:r>
    </w:p>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202"/>
      </w:tblGrid>
      <w:tr w:rsidR="002311E0" w:rsidRPr="002311E0" w14:paraId="6AF2AF0F" w14:textId="77777777" w:rsidTr="006A08E8">
        <w:tc>
          <w:tcPr>
            <w:tcW w:w="1134" w:type="dxa"/>
            <w:shd w:val="clear" w:color="auto" w:fill="auto"/>
          </w:tcPr>
          <w:p w14:paraId="13C0EA8C" w14:textId="2590AFFC" w:rsidR="002311E0" w:rsidRPr="002311E0" w:rsidRDefault="002311E0" w:rsidP="00BC502A">
            <w:pPr>
              <w:ind w:left="567" w:hanging="283"/>
              <w:jc w:val="right"/>
              <w:rPr>
                <w:b/>
                <w:i/>
                <w:sz w:val="16"/>
              </w:rPr>
            </w:pPr>
            <w:proofErr w:type="spellStart"/>
            <w:r w:rsidRPr="002311E0">
              <w:rPr>
                <w:i/>
                <w:sz w:val="16"/>
              </w:rPr>
              <w:t>LoE:I</w:t>
            </w:r>
            <w:r w:rsidR="00690E6D">
              <w:rPr>
                <w:i/>
                <w:sz w:val="16"/>
              </w:rPr>
              <w:t>Ia</w:t>
            </w:r>
            <w:proofErr w:type="spellEnd"/>
            <w:r w:rsidRPr="002311E0">
              <w:rPr>
                <w:i/>
                <w:sz w:val="16"/>
                <w:vertAlign w:val="superscript"/>
              </w:rPr>
              <w:endnoteReference w:id="33"/>
            </w:r>
          </w:p>
        </w:tc>
      </w:tr>
    </w:tbl>
    <w:p w14:paraId="7B32C71C" w14:textId="77777777" w:rsidR="00950521" w:rsidRPr="002311E0" w:rsidRDefault="00950521" w:rsidP="00BC502A">
      <w:pPr>
        <w:tabs>
          <w:tab w:val="clear" w:pos="2694"/>
          <w:tab w:val="clear" w:pos="2977"/>
        </w:tabs>
        <w:ind w:left="567" w:hanging="283"/>
        <w:jc w:val="left"/>
        <w:rPr>
          <w:sz w:val="2"/>
          <w:lang w:val="en-GB"/>
        </w:rPr>
      </w:pPr>
    </w:p>
    <w:p w14:paraId="660D7654" w14:textId="1511A228" w:rsidR="002311E0" w:rsidRPr="00D656E2" w:rsidRDefault="00F94CF1" w:rsidP="00BC502A">
      <w:pPr>
        <w:numPr>
          <w:ilvl w:val="0"/>
          <w:numId w:val="10"/>
        </w:numPr>
        <w:tabs>
          <w:tab w:val="clear" w:pos="2694"/>
          <w:tab w:val="clear" w:pos="2977"/>
        </w:tabs>
        <w:ind w:left="567" w:hanging="283"/>
        <w:jc w:val="left"/>
        <w:rPr>
          <w:lang w:val="en-GB"/>
        </w:rPr>
      </w:pPr>
      <w:r w:rsidRPr="00D656E2">
        <w:rPr>
          <w:lang w:val="en-GB"/>
        </w:rPr>
        <w:t xml:space="preserve">Maximum </w:t>
      </w:r>
      <w:r w:rsidR="009434C3">
        <w:rPr>
          <w:lang w:val="en-GB"/>
        </w:rPr>
        <w:t xml:space="preserve">daily </w:t>
      </w:r>
      <w:r w:rsidRPr="00D656E2">
        <w:rPr>
          <w:lang w:val="en-GB"/>
        </w:rPr>
        <w:t>dose: 4</w:t>
      </w:r>
      <w:r w:rsidR="009434C3">
        <w:rPr>
          <w:lang w:val="en-GB"/>
        </w:rPr>
        <w:t xml:space="preserve"> </w:t>
      </w:r>
      <w:r w:rsidRPr="00D656E2">
        <w:rPr>
          <w:lang w:val="en-GB"/>
        </w:rPr>
        <w:t xml:space="preserve">g in 24 hours. </w:t>
      </w:r>
    </w:p>
    <w:p w14:paraId="2D8169C8" w14:textId="77777777" w:rsidR="00E32B04" w:rsidRPr="00E32B04" w:rsidRDefault="00E32B04" w:rsidP="006D4FB6">
      <w:pPr>
        <w:rPr>
          <w:sz w:val="10"/>
          <w:lang w:val="en-GB"/>
        </w:rPr>
      </w:pPr>
    </w:p>
    <w:p w14:paraId="6CC4A54E" w14:textId="77777777" w:rsidR="00B74E86" w:rsidRDefault="00B74E86" w:rsidP="006A3613">
      <w:pPr>
        <w:numPr>
          <w:ilvl w:val="0"/>
          <w:numId w:val="9"/>
        </w:numPr>
        <w:tabs>
          <w:tab w:val="clear" w:pos="2694"/>
          <w:tab w:val="clear" w:pos="2977"/>
        </w:tabs>
        <w:ind w:left="284" w:hanging="284"/>
      </w:pPr>
      <w:r w:rsidRPr="0079139B">
        <w:t>Morphine, IV, to a total maximum dose of 10 mg (See Appendix II</w:t>
      </w:r>
      <w:r>
        <w:t>,</w:t>
      </w:r>
      <w:r w:rsidRPr="0079139B">
        <w:t xml:space="preserve"> for </w:t>
      </w:r>
      <w:r>
        <w:t>individual dosing</w:t>
      </w:r>
      <w:r w:rsidRPr="0079139B">
        <w:t xml:space="preserve"> and monitoring </w:t>
      </w:r>
      <w:r>
        <w:t xml:space="preserve">for response and </w:t>
      </w:r>
      <w:r w:rsidRPr="0079139B">
        <w:t>toxicity</w:t>
      </w:r>
      <w:r>
        <w:t>).</w:t>
      </w:r>
    </w:p>
    <w:p w14:paraId="4F068597" w14:textId="77777777" w:rsidR="00B74E86" w:rsidRPr="00F90C62" w:rsidRDefault="00B74E86" w:rsidP="002059B5">
      <w:pPr>
        <w:pStyle w:val="Bullet1"/>
        <w:rPr>
          <w:sz w:val="10"/>
        </w:rPr>
      </w:pPr>
    </w:p>
    <w:p w14:paraId="483FCD31" w14:textId="4AA9A486" w:rsidR="006D4FB6" w:rsidRPr="00E32B04" w:rsidRDefault="006D4FB6" w:rsidP="006D4FB6">
      <w:pPr>
        <w:rPr>
          <w:sz w:val="16"/>
          <w:lang w:val="en-GB"/>
        </w:rPr>
      </w:pPr>
      <w:r w:rsidRPr="00802C75">
        <w:rPr>
          <w:u w:val="single"/>
          <w:lang w:val="en-GB"/>
        </w:rPr>
        <w:t>For shock, dehydration, maintenance of hydration:</w:t>
      </w:r>
      <w:r w:rsidR="00E32B04">
        <w:rPr>
          <w:lang w:val="en-GB"/>
        </w:rPr>
        <w:t xml:space="preserve"> </w:t>
      </w:r>
      <w:r w:rsidR="00E32B04">
        <w:rPr>
          <w:sz w:val="16"/>
          <w:lang w:val="en-GB"/>
        </w:rPr>
        <w:t>R57.9</w:t>
      </w:r>
      <w:r w:rsidR="00630B3C">
        <w:rPr>
          <w:sz w:val="16"/>
          <w:lang w:val="en-GB"/>
        </w:rPr>
        <w:t>+ (A35)</w:t>
      </w:r>
    </w:p>
    <w:p w14:paraId="52AFBAC0" w14:textId="77777777" w:rsidR="006D4FB6" w:rsidRPr="00802C75" w:rsidRDefault="006D4FB6" w:rsidP="00BC502A">
      <w:pPr>
        <w:pStyle w:val="Medicinebullet1"/>
        <w:numPr>
          <w:ilvl w:val="0"/>
          <w:numId w:val="3"/>
        </w:numPr>
        <w:ind w:left="284" w:hanging="284"/>
        <w:rPr>
          <w:rFonts w:cs="Arial"/>
          <w:lang w:val="en-GB"/>
        </w:rPr>
      </w:pPr>
      <w:r w:rsidRPr="00802C75">
        <w:rPr>
          <w:rFonts w:cs="Arial"/>
          <w:lang w:val="en-GB"/>
        </w:rPr>
        <w:t xml:space="preserve">IV </w:t>
      </w:r>
      <w:r w:rsidRPr="00802C75">
        <w:rPr>
          <w:rFonts w:cs="Arial"/>
          <w:spacing w:val="-6"/>
          <w:lang w:val="en-GB"/>
        </w:rPr>
        <w:t>fluids</w:t>
      </w:r>
      <w:r w:rsidRPr="00802C75">
        <w:rPr>
          <w:rFonts w:cs="Arial"/>
          <w:lang w:val="en-GB"/>
        </w:rPr>
        <w:t>.</w:t>
      </w:r>
    </w:p>
    <w:p w14:paraId="3A9C2B72" w14:textId="573165D4" w:rsidR="00C53E66" w:rsidRDefault="00C53E66" w:rsidP="006D4FB6">
      <w:pPr>
        <w:rPr>
          <w:sz w:val="10"/>
          <w:lang w:val="en-GB"/>
        </w:rPr>
      </w:pPr>
    </w:p>
    <w:p w14:paraId="143B8A23" w14:textId="0862FC0F" w:rsidR="006D4FB6" w:rsidRPr="00E32B04" w:rsidRDefault="00797FCE" w:rsidP="006D4FB6">
      <w:pPr>
        <w:rPr>
          <w:sz w:val="16"/>
          <w:lang w:val="en-GB"/>
        </w:rPr>
      </w:pPr>
      <w:r>
        <w:rPr>
          <w:u w:val="single"/>
          <w:lang w:val="en-GB"/>
        </w:rPr>
        <w:t>For</w:t>
      </w:r>
      <w:r w:rsidR="00C150D1">
        <w:rPr>
          <w:u w:val="single"/>
          <w:lang w:val="en-GB"/>
        </w:rPr>
        <w:t xml:space="preserve"> </w:t>
      </w:r>
      <w:r w:rsidR="006D4FB6" w:rsidRPr="00802C75">
        <w:rPr>
          <w:u w:val="single"/>
          <w:lang w:val="en-GB"/>
        </w:rPr>
        <w:t>prophylaxis for deep vein thrombosis:</w:t>
      </w:r>
      <w:r w:rsidR="00E32B04">
        <w:rPr>
          <w:lang w:val="en-GB"/>
        </w:rPr>
        <w:t xml:space="preserve"> </w:t>
      </w:r>
      <w:r w:rsidR="00E32B04">
        <w:rPr>
          <w:sz w:val="16"/>
          <w:lang w:val="en-GB"/>
        </w:rPr>
        <w:t>(Z29.2)</w:t>
      </w:r>
    </w:p>
    <w:p w14:paraId="58A78FB7" w14:textId="44489EF3" w:rsidR="00950521" w:rsidRDefault="008851A0" w:rsidP="008851A0">
      <w:pPr>
        <w:pStyle w:val="Medicinebullet1"/>
        <w:rPr>
          <w:rFonts w:cs="Arial"/>
          <w:lang w:val="en-GB"/>
        </w:rPr>
      </w:pPr>
      <w:r>
        <w:rPr>
          <w:lang w:val="en-GB"/>
        </w:rPr>
        <w:t xml:space="preserve">See section </w:t>
      </w:r>
      <w:bookmarkStart w:id="2" w:name="_Toc434078306"/>
      <w:bookmarkStart w:id="3" w:name="_Toc433976263"/>
      <w:bookmarkStart w:id="4" w:name="_Toc417984382"/>
      <w:bookmarkStart w:id="5" w:name="_Toc417044540"/>
      <w:r w:rsidRPr="00327CF0">
        <w:t>2.1</w:t>
      </w:r>
      <w:r>
        <w:t>4: Ve</w:t>
      </w:r>
      <w:r w:rsidRPr="00327CF0">
        <w:t>nous thrombo-embolism</w:t>
      </w:r>
      <w:bookmarkEnd w:id="2"/>
      <w:bookmarkEnd w:id="3"/>
      <w:bookmarkEnd w:id="4"/>
      <w:bookmarkEnd w:id="5"/>
      <w:r>
        <w:t>.</w:t>
      </w:r>
    </w:p>
    <w:p w14:paraId="5A88480C" w14:textId="77777777" w:rsidR="006D4FB6" w:rsidRPr="00802C75" w:rsidRDefault="006D4FB6" w:rsidP="006D4FB6">
      <w:pPr>
        <w:rPr>
          <w:sz w:val="16"/>
          <w:szCs w:val="16"/>
          <w:lang w:val="en-GB"/>
        </w:rPr>
      </w:pPr>
    </w:p>
    <w:p w14:paraId="3940D7A4" w14:textId="77777777" w:rsidR="006D4FB6" w:rsidRPr="00802C75" w:rsidRDefault="006D4FB6" w:rsidP="006D4FB6">
      <w:pPr>
        <w:pStyle w:val="Heading3"/>
        <w:rPr>
          <w:lang w:val="en-GB"/>
        </w:rPr>
      </w:pPr>
      <w:r w:rsidRPr="00802C75">
        <w:rPr>
          <w:lang w:val="en-GB"/>
        </w:rPr>
        <w:t xml:space="preserve">Referral </w:t>
      </w:r>
    </w:p>
    <w:p w14:paraId="079D7BE8" w14:textId="2FD4A35C" w:rsidR="006D4FB6" w:rsidRDefault="006D4FB6" w:rsidP="004703D0">
      <w:pPr>
        <w:pStyle w:val="Textbullet"/>
        <w:numPr>
          <w:ilvl w:val="0"/>
          <w:numId w:val="0"/>
        </w:numPr>
        <w:rPr>
          <w:lang w:val="en-GB"/>
        </w:rPr>
      </w:pPr>
      <w:r w:rsidRPr="00802C75">
        <w:rPr>
          <w:lang w:val="en-GB"/>
        </w:rPr>
        <w:t xml:space="preserve">All cases to a facility with resources for artificial </w:t>
      </w:r>
      <w:r w:rsidR="00023EC2">
        <w:rPr>
          <w:lang w:val="en-GB"/>
        </w:rPr>
        <w:t xml:space="preserve">mechanical </w:t>
      </w:r>
      <w:r w:rsidRPr="00802C75">
        <w:rPr>
          <w:lang w:val="en-GB"/>
        </w:rPr>
        <w:t xml:space="preserve">ventilation. </w:t>
      </w:r>
    </w:p>
    <w:p w14:paraId="0B8BCECD" w14:textId="5E5D5149" w:rsidR="002059B5" w:rsidRPr="00F90C62" w:rsidRDefault="002059B5" w:rsidP="004703D0">
      <w:pPr>
        <w:pStyle w:val="Textbullet"/>
        <w:numPr>
          <w:ilvl w:val="0"/>
          <w:numId w:val="0"/>
        </w:numPr>
        <w:rPr>
          <w:sz w:val="16"/>
          <w:lang w:val="en-GB"/>
        </w:rPr>
      </w:pPr>
    </w:p>
    <w:p w14:paraId="3D043DCE" w14:textId="77777777" w:rsidR="002059B5" w:rsidRPr="00F90C62" w:rsidRDefault="002059B5" w:rsidP="004703D0">
      <w:pPr>
        <w:pStyle w:val="Textbullet"/>
        <w:numPr>
          <w:ilvl w:val="0"/>
          <w:numId w:val="0"/>
        </w:numPr>
        <w:rPr>
          <w:sz w:val="16"/>
          <w:lang w:val="en-GB"/>
        </w:rPr>
      </w:pPr>
    </w:p>
    <w:p w14:paraId="5C3D2BD4" w14:textId="77777777" w:rsidR="006D4FB6" w:rsidRPr="00802C75" w:rsidRDefault="006D4FB6" w:rsidP="006D4FB6">
      <w:pPr>
        <w:pStyle w:val="Heading1"/>
        <w:rPr>
          <w:rFonts w:cs="Arial"/>
          <w:lang w:val="en-GB"/>
        </w:rPr>
      </w:pPr>
      <w:r w:rsidRPr="00802C75">
        <w:rPr>
          <w:rFonts w:cs="Arial"/>
          <w:lang w:val="en-GB"/>
        </w:rPr>
        <w:t>9.</w:t>
      </w:r>
      <w:r w:rsidR="00234210">
        <w:rPr>
          <w:rFonts w:cs="Arial"/>
          <w:lang w:val="en-GB"/>
        </w:rPr>
        <w:t>10</w:t>
      </w:r>
      <w:r w:rsidR="00234210" w:rsidRPr="00802C75">
        <w:rPr>
          <w:rFonts w:cs="Arial"/>
          <w:lang w:val="en-GB"/>
        </w:rPr>
        <w:t xml:space="preserve"> </w:t>
      </w:r>
      <w:r w:rsidRPr="00802C75">
        <w:rPr>
          <w:rFonts w:cs="Arial"/>
          <w:lang w:val="en-GB"/>
        </w:rPr>
        <w:t>TICK BITE FEVER</w:t>
      </w:r>
    </w:p>
    <w:p w14:paraId="31C73C6F" w14:textId="77777777" w:rsidR="006D4FB6" w:rsidRPr="00802C75" w:rsidRDefault="00E32B04" w:rsidP="006D4FB6">
      <w:pPr>
        <w:pStyle w:val="ICD10heading"/>
        <w:rPr>
          <w:lang w:val="en-GB"/>
        </w:rPr>
      </w:pPr>
      <w:r>
        <w:rPr>
          <w:lang w:val="en-GB"/>
        </w:rPr>
        <w:t>A93.8</w:t>
      </w:r>
    </w:p>
    <w:p w14:paraId="43662EB0" w14:textId="77777777" w:rsidR="006D4FB6" w:rsidRPr="00802C75" w:rsidRDefault="006D4FB6" w:rsidP="006D4FB6">
      <w:pPr>
        <w:rPr>
          <w:sz w:val="16"/>
          <w:szCs w:val="16"/>
          <w:lang w:val="en-GB"/>
        </w:rPr>
      </w:pPr>
    </w:p>
    <w:p w14:paraId="4219F0E7" w14:textId="77777777" w:rsidR="006D4FB6" w:rsidRPr="00802C75" w:rsidRDefault="006D4FB6" w:rsidP="006D4FB6">
      <w:pPr>
        <w:pStyle w:val="Heading3"/>
        <w:rPr>
          <w:lang w:val="en-GB"/>
        </w:rPr>
      </w:pPr>
      <w:r w:rsidRPr="00802C75">
        <w:rPr>
          <w:lang w:val="en-GB"/>
        </w:rPr>
        <w:t>Description</w:t>
      </w:r>
    </w:p>
    <w:p w14:paraId="783B9506" w14:textId="0F4946BD" w:rsidR="006D4FB6" w:rsidRPr="00802C75" w:rsidRDefault="006D4FB6" w:rsidP="006D4FB6">
      <w:pPr>
        <w:rPr>
          <w:lang w:val="en-GB"/>
        </w:rPr>
      </w:pPr>
      <w:r w:rsidRPr="00802C75">
        <w:rPr>
          <w:lang w:val="en-GB"/>
        </w:rPr>
        <w:t xml:space="preserve">Tick-borne infection due to </w:t>
      </w:r>
      <w:r w:rsidRPr="00802C75">
        <w:rPr>
          <w:i/>
          <w:lang w:val="en-GB"/>
        </w:rPr>
        <w:t>R. conorii</w:t>
      </w:r>
      <w:r w:rsidRPr="00802C75">
        <w:rPr>
          <w:lang w:val="en-GB"/>
        </w:rPr>
        <w:t xml:space="preserve">, acquired from dogs, or </w:t>
      </w:r>
      <w:r w:rsidRPr="00802C75">
        <w:rPr>
          <w:i/>
          <w:lang w:val="en-GB"/>
        </w:rPr>
        <w:t xml:space="preserve">R. </w:t>
      </w:r>
      <w:proofErr w:type="spellStart"/>
      <w:r w:rsidRPr="00802C75">
        <w:rPr>
          <w:i/>
          <w:lang w:val="en-GB"/>
        </w:rPr>
        <w:t>africae</w:t>
      </w:r>
      <w:proofErr w:type="spellEnd"/>
      <w:r w:rsidRPr="00802C75">
        <w:rPr>
          <w:lang w:val="en-GB"/>
        </w:rPr>
        <w:t xml:space="preserve">, acquired from cattle and game. The hallmark of tick bite fever is the eschar, a round black lesion ± 5 mm in diameter with an inflammatory halo, occurs in about two thirds of patients with </w:t>
      </w:r>
      <w:r w:rsidRPr="00802C75">
        <w:rPr>
          <w:i/>
          <w:lang w:val="en-GB"/>
        </w:rPr>
        <w:t>R. conorii</w:t>
      </w:r>
      <w:r w:rsidRPr="00802C75">
        <w:rPr>
          <w:lang w:val="en-GB"/>
        </w:rPr>
        <w:t xml:space="preserve"> and in most cases of </w:t>
      </w:r>
      <w:r w:rsidRPr="00802C75">
        <w:rPr>
          <w:i/>
          <w:lang w:val="en-GB"/>
        </w:rPr>
        <w:t xml:space="preserve">R. </w:t>
      </w:r>
      <w:proofErr w:type="spellStart"/>
      <w:r w:rsidRPr="00802C75">
        <w:rPr>
          <w:i/>
          <w:lang w:val="en-GB"/>
        </w:rPr>
        <w:t>africae</w:t>
      </w:r>
      <w:proofErr w:type="spellEnd"/>
      <w:r w:rsidRPr="00802C75">
        <w:rPr>
          <w:lang w:val="en-GB"/>
        </w:rPr>
        <w:t xml:space="preserve"> infection, where multiple eschars are common. A rash develops on about the third day of illness in about two thirds of patients with </w:t>
      </w:r>
      <w:r w:rsidRPr="00802C75">
        <w:rPr>
          <w:i/>
          <w:lang w:val="en-GB"/>
        </w:rPr>
        <w:t>R. conorii</w:t>
      </w:r>
      <w:r w:rsidRPr="00802C75">
        <w:rPr>
          <w:lang w:val="en-GB"/>
        </w:rPr>
        <w:t xml:space="preserve"> and in fewer cases of </w:t>
      </w:r>
      <w:r w:rsidRPr="00802C75">
        <w:rPr>
          <w:i/>
          <w:lang w:val="en-GB"/>
        </w:rPr>
        <w:t xml:space="preserve">R. </w:t>
      </w:r>
      <w:proofErr w:type="spellStart"/>
      <w:r w:rsidRPr="00802C75">
        <w:rPr>
          <w:i/>
          <w:lang w:val="en-GB"/>
        </w:rPr>
        <w:t>africae</w:t>
      </w:r>
      <w:proofErr w:type="spellEnd"/>
      <w:r w:rsidRPr="00802C75">
        <w:rPr>
          <w:lang w:val="en-GB"/>
        </w:rPr>
        <w:t xml:space="preserve"> infection. In </w:t>
      </w:r>
      <w:r w:rsidRPr="00802C75">
        <w:rPr>
          <w:i/>
          <w:lang w:val="en-GB"/>
        </w:rPr>
        <w:t>R. conorii</w:t>
      </w:r>
      <w:r w:rsidRPr="00802C75">
        <w:rPr>
          <w:lang w:val="en-GB"/>
        </w:rPr>
        <w:t xml:space="preserve"> infection the rash is maculopapular and involves the palms and soles. In </w:t>
      </w:r>
      <w:r w:rsidRPr="00802C75">
        <w:rPr>
          <w:i/>
          <w:lang w:val="en-GB"/>
        </w:rPr>
        <w:t xml:space="preserve">R. </w:t>
      </w:r>
      <w:proofErr w:type="spellStart"/>
      <w:r w:rsidRPr="00802C75">
        <w:rPr>
          <w:i/>
          <w:lang w:val="en-GB"/>
        </w:rPr>
        <w:t>africae</w:t>
      </w:r>
      <w:proofErr w:type="spellEnd"/>
      <w:r w:rsidRPr="00802C75">
        <w:rPr>
          <w:lang w:val="en-GB"/>
        </w:rPr>
        <w:t xml:space="preserve"> infection the rash is sparse and may be vesicular.</w:t>
      </w:r>
      <w:r w:rsidR="00DB3C05">
        <w:rPr>
          <w:lang w:val="en-GB"/>
        </w:rPr>
        <w:t xml:space="preserve"> </w:t>
      </w:r>
      <w:r w:rsidR="006D14EF">
        <w:rPr>
          <w:lang w:val="en-GB"/>
        </w:rPr>
        <w:t>Headache is a prominent sy</w:t>
      </w:r>
      <w:r w:rsidR="00CE6C9A">
        <w:rPr>
          <w:lang w:val="en-GB"/>
        </w:rPr>
        <w:t>m</w:t>
      </w:r>
      <w:r w:rsidR="006D14EF">
        <w:rPr>
          <w:lang w:val="en-GB"/>
        </w:rPr>
        <w:t>p</w:t>
      </w:r>
      <w:r w:rsidR="00CE6C9A">
        <w:rPr>
          <w:lang w:val="en-GB"/>
        </w:rPr>
        <w:t>tom.</w:t>
      </w:r>
    </w:p>
    <w:p w14:paraId="20D0EF7B" w14:textId="77777777" w:rsidR="006D4FB6" w:rsidRPr="00802C75" w:rsidRDefault="006D4FB6" w:rsidP="006D4FB6">
      <w:pPr>
        <w:rPr>
          <w:sz w:val="16"/>
          <w:szCs w:val="16"/>
          <w:lang w:val="en-GB"/>
        </w:rPr>
      </w:pPr>
    </w:p>
    <w:p w14:paraId="0A801588" w14:textId="77777777" w:rsidR="006D4FB6" w:rsidRPr="00802C75" w:rsidRDefault="006D4FB6" w:rsidP="006D4FB6">
      <w:pPr>
        <w:pStyle w:val="Heading3"/>
        <w:rPr>
          <w:lang w:val="en-GB"/>
        </w:rPr>
      </w:pPr>
      <w:r w:rsidRPr="00802C75">
        <w:rPr>
          <w:lang w:val="en-GB"/>
        </w:rPr>
        <w:t>medicine treatment</w:t>
      </w:r>
    </w:p>
    <w:p w14:paraId="6EC6BFB2" w14:textId="77777777" w:rsidR="00121A43" w:rsidRDefault="006D4FB6" w:rsidP="002059B5">
      <w:pPr>
        <w:pStyle w:val="Medicinebullet1"/>
        <w:numPr>
          <w:ilvl w:val="0"/>
          <w:numId w:val="3"/>
        </w:numPr>
        <w:ind w:left="284" w:hanging="284"/>
        <w:rPr>
          <w:rFonts w:cs="Arial"/>
          <w:spacing w:val="2"/>
          <w:lang w:val="en-GB"/>
        </w:rPr>
      </w:pPr>
      <w:r w:rsidRPr="00802C75">
        <w:rPr>
          <w:rFonts w:cs="Arial"/>
          <w:spacing w:val="2"/>
          <w:lang w:val="en-GB"/>
        </w:rPr>
        <w:t>Doxycycline, oral, 100 mg 12 hourly</w:t>
      </w:r>
      <w:r w:rsidR="00121A43">
        <w:rPr>
          <w:rFonts w:cs="Arial"/>
          <w:spacing w:val="2"/>
          <w:lang w:val="en-GB"/>
        </w:rPr>
        <w:t>, for at least 3 days after the fever subsides with clinical improvement.</w:t>
      </w:r>
    </w:p>
    <w:p w14:paraId="59B4FFD5" w14:textId="77777777" w:rsidR="00627916" w:rsidRDefault="00121A43" w:rsidP="002059B5">
      <w:pPr>
        <w:pStyle w:val="Medicinebullet1"/>
        <w:numPr>
          <w:ilvl w:val="0"/>
          <w:numId w:val="27"/>
        </w:numPr>
        <w:ind w:left="567" w:hanging="283"/>
        <w:rPr>
          <w:rFonts w:cs="Arial"/>
          <w:spacing w:val="2"/>
          <w:lang w:val="en-GB"/>
        </w:rPr>
      </w:pPr>
      <w:r>
        <w:rPr>
          <w:rFonts w:cs="Arial"/>
          <w:spacing w:val="2"/>
          <w:lang w:val="en-GB"/>
        </w:rPr>
        <w:t>Total duration of treatment is 7 days.</w:t>
      </w:r>
    </w:p>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
      </w:tblGrid>
      <w:tr w:rsidR="00627916" w:rsidRPr="00AE506D" w14:paraId="6F7D4372" w14:textId="77777777" w:rsidTr="006A08E8">
        <w:tc>
          <w:tcPr>
            <w:tcW w:w="1134" w:type="dxa"/>
            <w:shd w:val="clear" w:color="auto" w:fill="auto"/>
          </w:tcPr>
          <w:p w14:paraId="0FC76513" w14:textId="2295937B" w:rsidR="00627916" w:rsidRPr="00AE506D" w:rsidRDefault="00627916" w:rsidP="006A08E8">
            <w:pPr>
              <w:jc w:val="right"/>
              <w:rPr>
                <w:b/>
                <w:i/>
                <w:sz w:val="16"/>
              </w:rPr>
            </w:pPr>
            <w:proofErr w:type="spellStart"/>
            <w:r w:rsidRPr="00AE506D">
              <w:rPr>
                <w:i/>
                <w:sz w:val="16"/>
              </w:rPr>
              <w:t>LoE:III</w:t>
            </w:r>
            <w:r w:rsidR="00526F0B">
              <w:rPr>
                <w:i/>
                <w:sz w:val="16"/>
              </w:rPr>
              <w:t>b</w:t>
            </w:r>
            <w:proofErr w:type="spellEnd"/>
            <w:r w:rsidRPr="00AE506D">
              <w:rPr>
                <w:i/>
                <w:sz w:val="16"/>
                <w:vertAlign w:val="superscript"/>
              </w:rPr>
              <w:endnoteReference w:id="34"/>
            </w:r>
          </w:p>
        </w:tc>
      </w:tr>
    </w:tbl>
    <w:p w14:paraId="33915970" w14:textId="77777777" w:rsidR="002F33E4" w:rsidRPr="00E32B04" w:rsidRDefault="002F33E4" w:rsidP="00627916">
      <w:pPr>
        <w:pStyle w:val="Medicinebullet1"/>
        <w:ind w:left="720"/>
        <w:rPr>
          <w:rFonts w:cs="Arial"/>
          <w:spacing w:val="2"/>
          <w:sz w:val="10"/>
          <w:lang w:val="en-GB"/>
        </w:rPr>
      </w:pPr>
    </w:p>
    <w:p w14:paraId="6A20DC40" w14:textId="77777777" w:rsidR="006D4FB6" w:rsidRPr="00E32B04" w:rsidRDefault="006D4FB6" w:rsidP="006D4FB6">
      <w:pPr>
        <w:rPr>
          <w:lang w:val="en-GB"/>
        </w:rPr>
      </w:pPr>
      <w:r w:rsidRPr="00802C75">
        <w:rPr>
          <w:u w:val="single"/>
          <w:lang w:val="en-GB"/>
        </w:rPr>
        <w:t>In pregnancy:</w:t>
      </w:r>
      <w:r w:rsidR="00E32B04">
        <w:rPr>
          <w:u w:val="single"/>
          <w:lang w:val="en-GB"/>
        </w:rPr>
        <w:t xml:space="preserve"> </w:t>
      </w:r>
      <w:r w:rsidR="00E32B04" w:rsidRPr="00E32B04">
        <w:rPr>
          <w:sz w:val="16"/>
          <w:lang w:val="en-GB"/>
        </w:rPr>
        <w:t>O98.5+(A93.8)</w:t>
      </w:r>
    </w:p>
    <w:tbl>
      <w:tblPr>
        <w:tblpPr w:leftFromText="180" w:rightFromText="180" w:vertAnchor="text" w:horzAnchor="margin" w:tblpXSpec="right" w:tblpY="229"/>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Look w:val="04A0" w:firstRow="1" w:lastRow="0" w:firstColumn="1" w:lastColumn="0" w:noHBand="0" w:noVBand="1"/>
      </w:tblPr>
      <w:tblGrid>
        <w:gridCol w:w="1134"/>
      </w:tblGrid>
      <w:tr w:rsidR="00F15E87" w:rsidRPr="00281390" w14:paraId="2BAB3403" w14:textId="77777777" w:rsidTr="00354AF5">
        <w:tc>
          <w:tcPr>
            <w:tcW w:w="1134" w:type="dxa"/>
            <w:shd w:val="clear" w:color="auto" w:fill="FFFFFF" w:themeFill="background1"/>
          </w:tcPr>
          <w:p w14:paraId="39A5E0BB" w14:textId="77777777" w:rsidR="00F15E87" w:rsidRPr="00281390" w:rsidRDefault="00F15E87" w:rsidP="00354AF5">
            <w:pPr>
              <w:pStyle w:val="LoEText"/>
              <w:framePr w:hSpace="0" w:wrap="auto" w:vAnchor="margin" w:hAnchor="text" w:xAlign="left" w:yAlign="inline"/>
              <w:suppressOverlap w:val="0"/>
            </w:pPr>
            <w:proofErr w:type="spellStart"/>
            <w:r>
              <w:t>LoE:IVb</w:t>
            </w:r>
            <w:proofErr w:type="spellEnd"/>
            <w:r w:rsidRPr="00281390">
              <w:rPr>
                <w:rStyle w:val="EndnoteReference"/>
              </w:rPr>
              <w:endnoteReference w:id="35"/>
            </w:r>
          </w:p>
        </w:tc>
      </w:tr>
    </w:tbl>
    <w:p w14:paraId="4CB26C20" w14:textId="77777777" w:rsidR="00F15E87" w:rsidRDefault="00F15E87" w:rsidP="00354AF5">
      <w:pPr>
        <w:pStyle w:val="BulletMedicine"/>
      </w:pPr>
      <w:r w:rsidRPr="00281390">
        <w:t>Doxycycline, oral, 100 mg 12 hourly</w:t>
      </w:r>
      <w:r>
        <w:t xml:space="preserve"> for 2 days.</w:t>
      </w:r>
    </w:p>
    <w:p w14:paraId="401B2D38" w14:textId="77777777" w:rsidR="00F15E87" w:rsidRDefault="00F15E87" w:rsidP="00354AF5">
      <w:r>
        <w:t>Then switch to:</w:t>
      </w:r>
    </w:p>
    <w:p w14:paraId="6DA2984E" w14:textId="77777777" w:rsidR="00F15E87" w:rsidRPr="00281390" w:rsidRDefault="00F15E87" w:rsidP="00F15E87">
      <w:pPr>
        <w:pStyle w:val="BulletMedicine"/>
      </w:pPr>
      <w:r w:rsidRPr="00281390">
        <w:t>Azithromycin, oral, 500 mg 12 hourly for 3 days.</w:t>
      </w:r>
    </w:p>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
      </w:tblGrid>
      <w:tr w:rsidR="00967BD8" w:rsidRPr="00AE506D" w14:paraId="78837A98" w14:textId="77777777" w:rsidTr="00CB690F">
        <w:tc>
          <w:tcPr>
            <w:tcW w:w="1134" w:type="dxa"/>
            <w:shd w:val="clear" w:color="auto" w:fill="auto"/>
          </w:tcPr>
          <w:p w14:paraId="51F67F6E" w14:textId="3710A682" w:rsidR="00967BD8" w:rsidRPr="00AE506D" w:rsidRDefault="00967BD8" w:rsidP="00CB690F">
            <w:pPr>
              <w:jc w:val="right"/>
              <w:rPr>
                <w:b/>
                <w:i/>
                <w:sz w:val="16"/>
              </w:rPr>
            </w:pPr>
            <w:proofErr w:type="spellStart"/>
            <w:r w:rsidRPr="00AE506D">
              <w:rPr>
                <w:i/>
                <w:sz w:val="16"/>
              </w:rPr>
              <w:t>LoE:III</w:t>
            </w:r>
            <w:r w:rsidR="00526F0B">
              <w:rPr>
                <w:i/>
                <w:sz w:val="16"/>
              </w:rPr>
              <w:t>b</w:t>
            </w:r>
            <w:proofErr w:type="spellEnd"/>
            <w:r w:rsidRPr="00AE506D">
              <w:rPr>
                <w:i/>
                <w:sz w:val="16"/>
                <w:vertAlign w:val="superscript"/>
              </w:rPr>
              <w:endnoteReference w:id="36"/>
            </w:r>
          </w:p>
        </w:tc>
      </w:tr>
    </w:tbl>
    <w:p w14:paraId="67031F0A" w14:textId="77777777" w:rsidR="006D4FB6" w:rsidRPr="00F90C62" w:rsidRDefault="006D4FB6" w:rsidP="006D4FB6">
      <w:pPr>
        <w:rPr>
          <w:sz w:val="10"/>
          <w:szCs w:val="16"/>
          <w:lang w:val="en-GB"/>
        </w:rPr>
      </w:pPr>
    </w:p>
    <w:p w14:paraId="63430436" w14:textId="77777777" w:rsidR="006D4FB6" w:rsidRPr="00802C75" w:rsidRDefault="006D4FB6" w:rsidP="006D4FB6">
      <w:pPr>
        <w:rPr>
          <w:u w:val="single"/>
          <w:lang w:val="en-GB"/>
        </w:rPr>
      </w:pPr>
      <w:r w:rsidRPr="00802C75">
        <w:rPr>
          <w:u w:val="single"/>
          <w:lang w:val="en-GB"/>
        </w:rPr>
        <w:t>For the rare patient unable to take oral therapy:</w:t>
      </w:r>
    </w:p>
    <w:p w14:paraId="1D056DDA" w14:textId="77777777" w:rsidR="00967BD8" w:rsidRPr="00802C75" w:rsidRDefault="006A78C9" w:rsidP="006A78C9">
      <w:pPr>
        <w:rPr>
          <w:lang w:val="en-GB"/>
        </w:rPr>
      </w:pPr>
      <w:r w:rsidRPr="00802C75">
        <w:rPr>
          <w:lang w:val="en-GB"/>
        </w:rPr>
        <w:t>Total du</w:t>
      </w:r>
      <w:r w:rsidR="000F7532" w:rsidRPr="00802C75">
        <w:rPr>
          <w:lang w:val="en-GB"/>
        </w:rPr>
        <w:t>ra</w:t>
      </w:r>
      <w:r w:rsidRPr="00802C75">
        <w:rPr>
          <w:lang w:val="en-GB"/>
        </w:rPr>
        <w:t>tion of therapy: 7 days.</w:t>
      </w:r>
    </w:p>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
      </w:tblGrid>
      <w:tr w:rsidR="00967BD8" w:rsidRPr="00AE506D" w14:paraId="5511EA7E" w14:textId="77777777" w:rsidTr="00CB690F">
        <w:tc>
          <w:tcPr>
            <w:tcW w:w="1134" w:type="dxa"/>
            <w:shd w:val="clear" w:color="auto" w:fill="auto"/>
          </w:tcPr>
          <w:p w14:paraId="7453FCB0" w14:textId="49FA32EF" w:rsidR="00967BD8" w:rsidRPr="00AE506D" w:rsidRDefault="00967BD8" w:rsidP="00CB690F">
            <w:pPr>
              <w:jc w:val="right"/>
              <w:rPr>
                <w:b/>
                <w:i/>
                <w:sz w:val="16"/>
              </w:rPr>
            </w:pPr>
            <w:proofErr w:type="spellStart"/>
            <w:r w:rsidRPr="00AE506D">
              <w:rPr>
                <w:i/>
                <w:sz w:val="16"/>
              </w:rPr>
              <w:t>LoE:</w:t>
            </w:r>
            <w:r w:rsidR="00BF473B" w:rsidRPr="00AE506D">
              <w:rPr>
                <w:i/>
                <w:sz w:val="16"/>
              </w:rPr>
              <w:t>II</w:t>
            </w:r>
            <w:r w:rsidRPr="00AE506D">
              <w:rPr>
                <w:i/>
                <w:sz w:val="16"/>
              </w:rPr>
              <w:t>I</w:t>
            </w:r>
            <w:r w:rsidR="00526F0B">
              <w:rPr>
                <w:i/>
                <w:sz w:val="16"/>
              </w:rPr>
              <w:t>b</w:t>
            </w:r>
            <w:proofErr w:type="spellEnd"/>
            <w:r w:rsidRPr="00AE506D">
              <w:rPr>
                <w:i/>
                <w:sz w:val="16"/>
                <w:vertAlign w:val="superscript"/>
              </w:rPr>
              <w:endnoteReference w:id="37"/>
            </w:r>
          </w:p>
        </w:tc>
      </w:tr>
    </w:tbl>
    <w:p w14:paraId="2B5DB5AC" w14:textId="77777777" w:rsidR="006A78C9" w:rsidRPr="00967BD8" w:rsidRDefault="006A78C9" w:rsidP="006A78C9">
      <w:pPr>
        <w:rPr>
          <w:sz w:val="2"/>
          <w:lang w:val="en-GB"/>
        </w:rPr>
      </w:pPr>
    </w:p>
    <w:p w14:paraId="450F4F6A" w14:textId="1338A593" w:rsidR="002F33E4" w:rsidRDefault="00853C48" w:rsidP="00EE6A3C">
      <w:pPr>
        <w:pStyle w:val="Medicinebullet1"/>
        <w:numPr>
          <w:ilvl w:val="0"/>
          <w:numId w:val="3"/>
        </w:numPr>
        <w:ind w:left="284" w:hanging="284"/>
        <w:rPr>
          <w:rFonts w:cs="Arial"/>
          <w:spacing w:val="2"/>
          <w:lang w:val="en-GB"/>
        </w:rPr>
      </w:pPr>
      <w:r w:rsidRPr="00802C75">
        <w:rPr>
          <w:rFonts w:cs="Arial"/>
          <w:spacing w:val="2"/>
          <w:lang w:val="en-GB"/>
        </w:rPr>
        <w:t>C</w:t>
      </w:r>
      <w:r>
        <w:rPr>
          <w:rFonts w:cs="Arial"/>
          <w:spacing w:val="2"/>
          <w:lang w:val="en-GB"/>
        </w:rPr>
        <w:t>iprofloxacin</w:t>
      </w:r>
      <w:r w:rsidR="006D4FB6" w:rsidRPr="00802C75">
        <w:rPr>
          <w:rFonts w:cs="Arial"/>
          <w:spacing w:val="2"/>
          <w:lang w:val="en-GB"/>
        </w:rPr>
        <w:t xml:space="preserve">, IV, </w:t>
      </w:r>
      <w:r>
        <w:rPr>
          <w:rFonts w:cs="Arial"/>
          <w:spacing w:val="2"/>
          <w:lang w:val="en-GB"/>
        </w:rPr>
        <w:t>400</w:t>
      </w:r>
      <w:r w:rsidR="002E23A6">
        <w:rPr>
          <w:rFonts w:cs="Arial"/>
          <w:spacing w:val="2"/>
          <w:lang w:val="en-GB"/>
        </w:rPr>
        <w:t xml:space="preserve"> </w:t>
      </w:r>
      <w:r w:rsidR="006D4FB6" w:rsidRPr="00802C75">
        <w:rPr>
          <w:rFonts w:cs="Arial"/>
          <w:spacing w:val="2"/>
          <w:lang w:val="en-GB"/>
        </w:rPr>
        <w:t xml:space="preserve">mg </w:t>
      </w:r>
      <w:r>
        <w:rPr>
          <w:rFonts w:cs="Arial"/>
          <w:spacing w:val="2"/>
          <w:lang w:val="en-GB"/>
        </w:rPr>
        <w:t>8</w:t>
      </w:r>
      <w:r w:rsidR="002E23A6">
        <w:rPr>
          <w:rFonts w:cs="Arial"/>
          <w:spacing w:val="2"/>
          <w:lang w:val="en-GB"/>
        </w:rPr>
        <w:t xml:space="preserve"> </w:t>
      </w:r>
      <w:r w:rsidR="006D4FB6" w:rsidRPr="00802C75">
        <w:rPr>
          <w:rFonts w:cs="Arial"/>
          <w:spacing w:val="2"/>
          <w:lang w:val="en-GB"/>
        </w:rPr>
        <w:t>hourly.</w:t>
      </w:r>
    </w:p>
    <w:p w14:paraId="77667DBB" w14:textId="77777777" w:rsidR="006D4FB6" w:rsidRPr="00967BD8" w:rsidRDefault="006D4FB6" w:rsidP="00967BD8">
      <w:pPr>
        <w:pStyle w:val="Medicinebullet1"/>
        <w:rPr>
          <w:rFonts w:cs="Arial"/>
          <w:spacing w:val="2"/>
          <w:sz w:val="2"/>
          <w:lang w:val="en-GB"/>
        </w:rPr>
      </w:pPr>
    </w:p>
    <w:p w14:paraId="31F2622D" w14:textId="33F09E30" w:rsidR="006D4FB6" w:rsidRDefault="006D4FB6" w:rsidP="006D4FB6">
      <w:pPr>
        <w:rPr>
          <w:spacing w:val="-4"/>
          <w:lang w:val="en-GB"/>
        </w:rPr>
      </w:pPr>
      <w:r w:rsidRPr="00802C75">
        <w:rPr>
          <w:b/>
          <w:lang w:val="en-GB"/>
        </w:rPr>
        <w:t>Note</w:t>
      </w:r>
      <w:r w:rsidRPr="00802C75">
        <w:rPr>
          <w:lang w:val="en-GB"/>
        </w:rPr>
        <w:t>:</w:t>
      </w:r>
      <w:r w:rsidR="00A245F1">
        <w:rPr>
          <w:lang w:val="en-GB"/>
        </w:rPr>
        <w:t xml:space="preserve"> </w:t>
      </w:r>
      <w:r w:rsidRPr="00802C75">
        <w:rPr>
          <w:spacing w:val="-4"/>
          <w:lang w:val="en-GB"/>
        </w:rPr>
        <w:t>This is inferior to doxycycline</w:t>
      </w:r>
      <w:r w:rsidR="008249D9">
        <w:rPr>
          <w:spacing w:val="-4"/>
          <w:lang w:val="en-GB"/>
        </w:rPr>
        <w:t xml:space="preserve"> and oral doxycycline</w:t>
      </w:r>
      <w:r w:rsidR="00A245F1">
        <w:rPr>
          <w:spacing w:val="-4"/>
          <w:lang w:val="en-GB"/>
        </w:rPr>
        <w:t xml:space="preserve"> </w:t>
      </w:r>
      <w:r w:rsidRPr="00802C75">
        <w:rPr>
          <w:spacing w:val="-4"/>
          <w:lang w:val="en-GB"/>
        </w:rPr>
        <w:t>should be commenced as soon as possible.</w:t>
      </w:r>
    </w:p>
    <w:p w14:paraId="3AAD19E9" w14:textId="77777777" w:rsidR="00D656E2" w:rsidRPr="00D656E2" w:rsidRDefault="00D656E2" w:rsidP="006D4FB6">
      <w:pPr>
        <w:rPr>
          <w:color w:val="auto"/>
          <w:spacing w:val="-4"/>
          <w:lang w:val="en-GB"/>
        </w:rPr>
      </w:pPr>
    </w:p>
    <w:p w14:paraId="1DC7D703" w14:textId="39547089" w:rsidR="00627916" w:rsidRPr="00D656E2" w:rsidRDefault="00DE4571" w:rsidP="006D4FB6">
      <w:pPr>
        <w:rPr>
          <w:b/>
          <w:i/>
          <w:color w:val="auto"/>
          <w:spacing w:val="-4"/>
          <w:lang w:val="en-GB"/>
        </w:rPr>
      </w:pPr>
      <w:r w:rsidRPr="00DE4571">
        <w:rPr>
          <w:b/>
          <w:color w:val="auto"/>
          <w:spacing w:val="-4"/>
          <w:sz w:val="20"/>
          <w:lang w:val="en-GB"/>
        </w:rPr>
        <w:lastRenderedPageBreak/>
        <w:t>REFERRAL</w:t>
      </w:r>
      <w:r w:rsidR="00121A43">
        <w:rPr>
          <w:color w:val="auto"/>
          <w:spacing w:val="-4"/>
          <w:lang w:val="en-GB"/>
        </w:rPr>
        <w:br/>
      </w:r>
      <w:r w:rsidR="00D656E2" w:rsidRPr="00EE6A3C">
        <w:rPr>
          <w:color w:val="auto"/>
          <w:lang w:val="en-GB"/>
        </w:rPr>
        <w:t>Tick bite fever</w:t>
      </w:r>
      <w:r w:rsidR="00121A43" w:rsidRPr="00EE6A3C">
        <w:rPr>
          <w:color w:val="auto"/>
          <w:lang w:val="en-GB"/>
        </w:rPr>
        <w:t xml:space="preserve"> </w:t>
      </w:r>
      <w:r w:rsidR="00D656E2" w:rsidRPr="00EE6A3C">
        <w:rPr>
          <w:color w:val="auto"/>
          <w:lang w:val="en-GB"/>
        </w:rPr>
        <w:t>responds rapidly to treatment and fever persisting for &gt;48 hours after initiation of treatment should prompt consid</w:t>
      </w:r>
      <w:r w:rsidR="00627916" w:rsidRPr="00EE6A3C">
        <w:rPr>
          <w:color w:val="auto"/>
          <w:lang w:val="en-GB"/>
        </w:rPr>
        <w:t>e</w:t>
      </w:r>
      <w:r w:rsidR="00D656E2" w:rsidRPr="00EE6A3C">
        <w:rPr>
          <w:color w:val="auto"/>
          <w:lang w:val="en-GB"/>
        </w:rPr>
        <w:t>ration of an alternative or additional diagnosis</w:t>
      </w:r>
      <w:r w:rsidR="00D656E2" w:rsidRPr="00EE6A3C">
        <w:rPr>
          <w:b/>
          <w:i/>
          <w:color w:val="auto"/>
          <w:lang w:val="en-GB"/>
        </w:rPr>
        <w:t>.</w:t>
      </w:r>
    </w:p>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
      </w:tblGrid>
      <w:tr w:rsidR="00627916" w:rsidRPr="00AE506D" w14:paraId="3BBF34D8" w14:textId="77777777" w:rsidTr="006A08E8">
        <w:tc>
          <w:tcPr>
            <w:tcW w:w="1134" w:type="dxa"/>
            <w:shd w:val="clear" w:color="auto" w:fill="auto"/>
          </w:tcPr>
          <w:p w14:paraId="16905FFD" w14:textId="5EFBD91A" w:rsidR="00627916" w:rsidRPr="00AE506D" w:rsidRDefault="00627916" w:rsidP="006A08E8">
            <w:pPr>
              <w:jc w:val="right"/>
              <w:rPr>
                <w:b/>
                <w:i/>
                <w:sz w:val="16"/>
              </w:rPr>
            </w:pPr>
            <w:proofErr w:type="spellStart"/>
            <w:r w:rsidRPr="00AE506D">
              <w:rPr>
                <w:i/>
                <w:sz w:val="16"/>
              </w:rPr>
              <w:t>LoE:I</w:t>
            </w:r>
            <w:r w:rsidR="000D4E09">
              <w:rPr>
                <w:i/>
                <w:sz w:val="16"/>
              </w:rPr>
              <w:t>Vb</w:t>
            </w:r>
            <w:proofErr w:type="spellEnd"/>
            <w:r w:rsidRPr="00AE506D">
              <w:rPr>
                <w:i/>
                <w:sz w:val="16"/>
                <w:vertAlign w:val="superscript"/>
              </w:rPr>
              <w:endnoteReference w:id="38"/>
            </w:r>
          </w:p>
        </w:tc>
      </w:tr>
    </w:tbl>
    <w:p w14:paraId="315B0455" w14:textId="77777777" w:rsidR="003C1C5C" w:rsidRPr="00D656E2" w:rsidRDefault="003C1C5C" w:rsidP="006D4FB6">
      <w:pPr>
        <w:rPr>
          <w:b/>
          <w:i/>
          <w:color w:val="auto"/>
          <w:spacing w:val="-4"/>
          <w:lang w:val="en-GB"/>
        </w:rPr>
      </w:pPr>
    </w:p>
    <w:p w14:paraId="0BC1FDC2" w14:textId="77777777" w:rsidR="003C1C5C" w:rsidRPr="00D656E2" w:rsidRDefault="003C1C5C" w:rsidP="006D4FB6">
      <w:pPr>
        <w:rPr>
          <w:spacing w:val="-4"/>
          <w:lang w:val="en-GB"/>
        </w:rPr>
      </w:pPr>
    </w:p>
    <w:p w14:paraId="2C30BCE4" w14:textId="77777777" w:rsidR="006D4FB6" w:rsidRPr="00802C75" w:rsidRDefault="006D4FB6" w:rsidP="006D4FB6">
      <w:pPr>
        <w:pStyle w:val="Heading1"/>
        <w:rPr>
          <w:rFonts w:cs="Arial"/>
          <w:lang w:val="en-GB"/>
        </w:rPr>
      </w:pPr>
      <w:bookmarkStart w:id="6" w:name="_Toc415638565"/>
      <w:bookmarkStart w:id="7" w:name="_Toc416058015"/>
      <w:bookmarkStart w:id="8" w:name="_Toc417044498"/>
      <w:bookmarkStart w:id="9" w:name="_Toc417097169"/>
      <w:bookmarkStart w:id="10" w:name="_Toc417984365"/>
      <w:bookmarkStart w:id="11" w:name="_Toc433976221"/>
      <w:bookmarkStart w:id="12" w:name="_Toc434078264"/>
      <w:r w:rsidRPr="00802C75">
        <w:rPr>
          <w:rFonts w:cs="Arial"/>
          <w:lang w:val="en-GB"/>
        </w:rPr>
        <w:t>9.</w:t>
      </w:r>
      <w:bookmarkEnd w:id="6"/>
      <w:bookmarkEnd w:id="7"/>
      <w:bookmarkEnd w:id="8"/>
      <w:bookmarkEnd w:id="9"/>
      <w:bookmarkEnd w:id="10"/>
      <w:r w:rsidR="00234210">
        <w:rPr>
          <w:rFonts w:cs="Arial"/>
          <w:lang w:val="en-GB"/>
        </w:rPr>
        <w:t>11</w:t>
      </w:r>
      <w:r w:rsidR="00234210" w:rsidRPr="00802C75">
        <w:rPr>
          <w:rFonts w:cs="Arial"/>
          <w:lang w:val="en-GB"/>
        </w:rPr>
        <w:t xml:space="preserve"> </w:t>
      </w:r>
      <w:r w:rsidR="0096497F">
        <w:rPr>
          <w:rFonts w:cs="Arial"/>
          <w:lang w:val="en-GB"/>
        </w:rPr>
        <w:t>TYPHOID</w:t>
      </w:r>
      <w:r w:rsidR="00FB04EE">
        <w:rPr>
          <w:rFonts w:cs="Arial"/>
          <w:lang w:val="en-GB"/>
        </w:rPr>
        <w:t xml:space="preserve"> FEVER (ENTERIC FEVER</w:t>
      </w:r>
      <w:r w:rsidR="0096497F">
        <w:rPr>
          <w:rFonts w:cs="Arial"/>
          <w:lang w:val="en-GB"/>
        </w:rPr>
        <w:t>)</w:t>
      </w:r>
    </w:p>
    <w:p w14:paraId="64CB4042" w14:textId="77777777" w:rsidR="006D4FB6" w:rsidRPr="00802C75" w:rsidRDefault="006D4FB6" w:rsidP="006D4FB6">
      <w:pPr>
        <w:pStyle w:val="ICD10heading"/>
        <w:rPr>
          <w:lang w:val="en-GB"/>
        </w:rPr>
      </w:pPr>
      <w:r w:rsidRPr="00802C75">
        <w:rPr>
          <w:lang w:val="en-GB"/>
        </w:rPr>
        <w:t>A01.0</w:t>
      </w:r>
      <w:r w:rsidR="00E32B04">
        <w:rPr>
          <w:lang w:val="en-GB"/>
        </w:rPr>
        <w:t>-4</w:t>
      </w:r>
    </w:p>
    <w:p w14:paraId="646CFE1D" w14:textId="183D8E9D" w:rsidR="006D4FB6" w:rsidRPr="00802C75" w:rsidRDefault="006D4FB6" w:rsidP="006D4FB6">
      <w:pPr>
        <w:rPr>
          <w:lang w:val="en-GB"/>
        </w:rPr>
      </w:pPr>
      <w:r w:rsidRPr="00802C75">
        <w:rPr>
          <w:lang w:val="en-GB"/>
        </w:rPr>
        <w:t>*</w:t>
      </w:r>
      <w:r w:rsidR="00F90C62">
        <w:rPr>
          <w:lang w:val="en-GB"/>
        </w:rPr>
        <w:t>N</w:t>
      </w:r>
      <w:r w:rsidRPr="00802C75">
        <w:rPr>
          <w:lang w:val="en-GB"/>
        </w:rPr>
        <w:t xml:space="preserve">otifiable </w:t>
      </w:r>
      <w:bookmarkEnd w:id="11"/>
      <w:bookmarkEnd w:id="12"/>
      <w:r w:rsidR="00EE6A3C">
        <w:rPr>
          <w:lang w:val="en-GB"/>
        </w:rPr>
        <w:t>medical condition</w:t>
      </w:r>
      <w:r w:rsidR="00F90C62">
        <w:rPr>
          <w:lang w:val="en-GB"/>
        </w:rPr>
        <w:t xml:space="preserve"> (Typhoid fever)</w:t>
      </w:r>
      <w:r w:rsidR="00EE6A3C">
        <w:rPr>
          <w:lang w:val="en-GB"/>
        </w:rPr>
        <w:t>.</w:t>
      </w:r>
    </w:p>
    <w:p w14:paraId="445D8C15" w14:textId="77777777" w:rsidR="006D4FB6" w:rsidRPr="00BF473B" w:rsidRDefault="006D4FB6" w:rsidP="006D4FB6">
      <w:pPr>
        <w:rPr>
          <w:sz w:val="16"/>
          <w:lang w:val="en-GB"/>
        </w:rPr>
      </w:pPr>
    </w:p>
    <w:p w14:paraId="53D3CA89" w14:textId="77777777" w:rsidR="006D4FB6" w:rsidRPr="00802C75" w:rsidRDefault="006D4FB6" w:rsidP="006D4FB6">
      <w:pPr>
        <w:rPr>
          <w:lang w:val="en-GB"/>
        </w:rPr>
      </w:pPr>
      <w:r w:rsidRPr="00802C75">
        <w:rPr>
          <w:b/>
          <w:bCs/>
          <w:caps/>
          <w:sz w:val="20"/>
          <w:lang w:val="en-GB"/>
        </w:rPr>
        <w:t>Description</w:t>
      </w:r>
    </w:p>
    <w:p w14:paraId="7F0DB97D" w14:textId="41743ADB" w:rsidR="006D4FB6" w:rsidRDefault="006D4FB6" w:rsidP="00816166">
      <w:pPr>
        <w:widowControl w:val="0"/>
        <w:rPr>
          <w:lang w:val="en-GB"/>
        </w:rPr>
      </w:pPr>
      <w:r w:rsidRPr="00802C75">
        <w:rPr>
          <w:lang w:val="en-GB"/>
        </w:rPr>
        <w:t xml:space="preserve">Systemic infection due to </w:t>
      </w:r>
      <w:r w:rsidRPr="00802C75">
        <w:rPr>
          <w:i/>
          <w:lang w:val="en-GB"/>
        </w:rPr>
        <w:t>S.</w:t>
      </w:r>
      <w:r w:rsidR="0096497F">
        <w:rPr>
          <w:i/>
          <w:lang w:val="en-GB"/>
        </w:rPr>
        <w:t xml:space="preserve"> </w:t>
      </w:r>
      <w:proofErr w:type="spellStart"/>
      <w:r w:rsidR="0096497F">
        <w:rPr>
          <w:i/>
          <w:lang w:val="en-GB"/>
        </w:rPr>
        <w:t>enteritica</w:t>
      </w:r>
      <w:proofErr w:type="spellEnd"/>
      <w:r w:rsidR="0096497F">
        <w:rPr>
          <w:i/>
          <w:lang w:val="en-GB"/>
        </w:rPr>
        <w:t xml:space="preserve"> </w:t>
      </w:r>
      <w:r w:rsidR="0096497F">
        <w:rPr>
          <w:lang w:val="en-GB"/>
        </w:rPr>
        <w:t>serotype</w:t>
      </w:r>
      <w:r w:rsidR="00A5669B" w:rsidRPr="00A5669B">
        <w:rPr>
          <w:lang w:val="en-GB"/>
        </w:rPr>
        <w:t xml:space="preserve"> Typhi</w:t>
      </w:r>
      <w:r w:rsidR="00C150D1">
        <w:rPr>
          <w:lang w:val="en-GB"/>
        </w:rPr>
        <w:t xml:space="preserve"> </w:t>
      </w:r>
      <w:r w:rsidRPr="00802C75">
        <w:rPr>
          <w:lang w:val="en-GB"/>
        </w:rPr>
        <w:t>or related organisms (</w:t>
      </w:r>
      <w:proofErr w:type="gramStart"/>
      <w:r w:rsidRPr="00802C75">
        <w:rPr>
          <w:lang w:val="en-GB"/>
        </w:rPr>
        <w:t>e.g.</w:t>
      </w:r>
      <w:proofErr w:type="gramEnd"/>
      <w:r w:rsidRPr="00802C75">
        <w:rPr>
          <w:lang w:val="en-GB"/>
        </w:rPr>
        <w:t xml:space="preserve"> </w:t>
      </w:r>
      <w:r w:rsidRPr="00802C75">
        <w:rPr>
          <w:i/>
          <w:lang w:val="en-GB"/>
        </w:rPr>
        <w:t xml:space="preserve">S. </w:t>
      </w:r>
      <w:proofErr w:type="spellStart"/>
      <w:r w:rsidR="00B97644">
        <w:rPr>
          <w:i/>
          <w:lang w:val="en-GB"/>
        </w:rPr>
        <w:t>p</w:t>
      </w:r>
      <w:r w:rsidRPr="00802C75">
        <w:rPr>
          <w:i/>
          <w:lang w:val="en-GB"/>
        </w:rPr>
        <w:t>aratyphi</w:t>
      </w:r>
      <w:proofErr w:type="spellEnd"/>
      <w:r w:rsidR="00A5669B" w:rsidRPr="00A5669B">
        <w:rPr>
          <w:lang w:val="en-GB"/>
        </w:rPr>
        <w:t>,</w:t>
      </w:r>
      <w:r w:rsidR="00B97644">
        <w:rPr>
          <w:i/>
          <w:lang w:val="en-GB"/>
        </w:rPr>
        <w:t xml:space="preserve"> S. </w:t>
      </w:r>
      <w:proofErr w:type="spellStart"/>
      <w:r w:rsidR="00B97644">
        <w:rPr>
          <w:i/>
          <w:lang w:val="en-GB"/>
        </w:rPr>
        <w:t>choleraesuis</w:t>
      </w:r>
      <w:proofErr w:type="spellEnd"/>
      <w:r w:rsidRPr="00802C75">
        <w:rPr>
          <w:lang w:val="en-GB"/>
        </w:rPr>
        <w:t>). Initial symptoms are abdominal pain, headache</w:t>
      </w:r>
      <w:r w:rsidR="00B97644">
        <w:rPr>
          <w:lang w:val="en-GB"/>
        </w:rPr>
        <w:t xml:space="preserve">, </w:t>
      </w:r>
      <w:proofErr w:type="gramStart"/>
      <w:r w:rsidR="00B97644">
        <w:rPr>
          <w:lang w:val="en-GB"/>
        </w:rPr>
        <w:t>cough</w:t>
      </w:r>
      <w:proofErr w:type="gramEnd"/>
      <w:r w:rsidRPr="00802C75">
        <w:rPr>
          <w:lang w:val="en-GB"/>
        </w:rPr>
        <w:t xml:space="preserve"> and fever</w:t>
      </w:r>
      <w:r w:rsidR="00B97644">
        <w:rPr>
          <w:lang w:val="en-GB"/>
        </w:rPr>
        <w:t>,</w:t>
      </w:r>
      <w:r w:rsidRPr="00802C75">
        <w:rPr>
          <w:lang w:val="en-GB"/>
        </w:rPr>
        <w:t xml:space="preserve"> with diarrhoea developing </w:t>
      </w:r>
      <w:r w:rsidR="00B97644">
        <w:rPr>
          <w:lang w:val="en-GB"/>
        </w:rPr>
        <w:t>after a few d</w:t>
      </w:r>
      <w:r w:rsidR="00185DB3">
        <w:rPr>
          <w:lang w:val="en-GB"/>
        </w:rPr>
        <w:t>ays</w:t>
      </w:r>
      <w:r w:rsidRPr="00802C75">
        <w:rPr>
          <w:lang w:val="en-GB"/>
        </w:rPr>
        <w:t xml:space="preserve">. Bacteraemia is common </w:t>
      </w:r>
      <w:r w:rsidR="00185DB3">
        <w:rPr>
          <w:lang w:val="en-GB"/>
        </w:rPr>
        <w:t>in the first week of illness</w:t>
      </w:r>
      <w:r w:rsidRPr="00802C75">
        <w:rPr>
          <w:lang w:val="en-GB"/>
        </w:rPr>
        <w:t>, subsequently stool culture has the highest yield.</w:t>
      </w:r>
    </w:p>
    <w:p w14:paraId="2302B682" w14:textId="77777777" w:rsidR="000F4108" w:rsidRPr="00802C75" w:rsidRDefault="000F4108" w:rsidP="00816166">
      <w:pPr>
        <w:widowControl w:val="0"/>
        <w:rPr>
          <w:lang w:val="en-GB"/>
        </w:rPr>
      </w:pPr>
    </w:p>
    <w:p w14:paraId="174F7732" w14:textId="77777777" w:rsidR="006D4FB6" w:rsidRPr="00802C75" w:rsidRDefault="006D4FB6" w:rsidP="006D4FB6">
      <w:pPr>
        <w:pStyle w:val="Heading3"/>
        <w:rPr>
          <w:lang w:val="en-GB"/>
        </w:rPr>
      </w:pPr>
      <w:r w:rsidRPr="00802C75">
        <w:rPr>
          <w:lang w:val="en-GB"/>
        </w:rPr>
        <w:t>General measures</w:t>
      </w:r>
    </w:p>
    <w:p w14:paraId="5E9C8225" w14:textId="77777777" w:rsidR="006D4FB6" w:rsidRPr="00802C75" w:rsidRDefault="006D4FB6" w:rsidP="006D4FB6">
      <w:pPr>
        <w:rPr>
          <w:lang w:val="en-GB"/>
        </w:rPr>
      </w:pPr>
      <w:r w:rsidRPr="00802C75">
        <w:rPr>
          <w:lang w:val="en-GB"/>
        </w:rPr>
        <w:t>Transfusion is indicated for severe haemorrhage.</w:t>
      </w:r>
    </w:p>
    <w:p w14:paraId="35399C22" w14:textId="77777777" w:rsidR="006D4FB6" w:rsidRDefault="006D4FB6" w:rsidP="006D4FB6">
      <w:pPr>
        <w:rPr>
          <w:lang w:val="en-GB"/>
        </w:rPr>
      </w:pPr>
      <w:r w:rsidRPr="00802C75">
        <w:rPr>
          <w:lang w:val="en-GB"/>
        </w:rPr>
        <w:t>Replace fluid and electrolytes.</w:t>
      </w:r>
    </w:p>
    <w:p w14:paraId="7E27A442" w14:textId="77777777" w:rsidR="00FF32F6" w:rsidRPr="00C53E66" w:rsidRDefault="00FF32F6" w:rsidP="006D4FB6">
      <w:pPr>
        <w:rPr>
          <w:color w:val="auto"/>
          <w:lang w:val="en-GB"/>
        </w:rPr>
      </w:pPr>
      <w:r w:rsidRPr="00C53E66">
        <w:rPr>
          <w:color w:val="auto"/>
          <w:lang w:val="en-GB"/>
        </w:rPr>
        <w:t>Contact isolation during acute phase of illness</w:t>
      </w:r>
      <w:r w:rsidR="00D12DFB" w:rsidRPr="00C53E66">
        <w:rPr>
          <w:color w:val="auto"/>
          <w:lang w:val="en-GB"/>
        </w:rPr>
        <w:t>.</w:t>
      </w:r>
    </w:p>
    <w:p w14:paraId="51D564FF" w14:textId="77777777" w:rsidR="00797FCE" w:rsidRPr="00332747" w:rsidRDefault="00797FCE" w:rsidP="006D4FB6">
      <w:pPr>
        <w:pStyle w:val="Heading3"/>
        <w:rPr>
          <w:b w:val="0"/>
          <w:sz w:val="16"/>
          <w:lang w:val="en-GB"/>
        </w:rPr>
      </w:pPr>
    </w:p>
    <w:p w14:paraId="02906F92" w14:textId="77777777" w:rsidR="006D4FB6" w:rsidRPr="00802C75" w:rsidRDefault="006D4FB6" w:rsidP="006D4FB6">
      <w:pPr>
        <w:pStyle w:val="Heading3"/>
        <w:rPr>
          <w:lang w:val="en-GB"/>
        </w:rPr>
      </w:pPr>
      <w:r w:rsidRPr="00802C75">
        <w:rPr>
          <w:lang w:val="en-GB"/>
        </w:rPr>
        <w:t>medicine treatment</w:t>
      </w:r>
    </w:p>
    <w:p w14:paraId="7A14DAD9" w14:textId="77777777" w:rsidR="00E0022A" w:rsidRDefault="00F622BB">
      <w:pPr>
        <w:rPr>
          <w:b/>
          <w:spacing w:val="2"/>
          <w:lang w:val="en-GB"/>
        </w:rPr>
      </w:pPr>
      <w:r w:rsidRPr="00802C75">
        <w:rPr>
          <w:b/>
          <w:spacing w:val="2"/>
          <w:lang w:val="en-GB"/>
        </w:rPr>
        <w:t>Antibiotic therapy</w:t>
      </w:r>
    </w:p>
    <w:p w14:paraId="0D1CBA7D" w14:textId="7442AF49" w:rsidR="003022F2" w:rsidRPr="00802C75" w:rsidRDefault="001E52DC">
      <w:pPr>
        <w:rPr>
          <w:b/>
          <w:spacing w:val="2"/>
          <w:lang w:val="en-GB"/>
        </w:rPr>
      </w:pPr>
      <w:r>
        <w:rPr>
          <w:b/>
          <w:spacing w:val="2"/>
          <w:lang w:val="en-GB"/>
        </w:rPr>
        <w:t xml:space="preserve">Note: </w:t>
      </w:r>
      <w:r w:rsidR="003022F2" w:rsidRPr="00802C75">
        <w:rPr>
          <w:b/>
          <w:spacing w:val="2"/>
          <w:lang w:val="en-GB"/>
        </w:rPr>
        <w:t xml:space="preserve">There is </w:t>
      </w:r>
      <w:r w:rsidR="00185DB3">
        <w:rPr>
          <w:b/>
          <w:spacing w:val="2"/>
          <w:lang w:val="en-GB"/>
        </w:rPr>
        <w:t>in</w:t>
      </w:r>
      <w:r w:rsidR="00185DB3" w:rsidRPr="00802C75">
        <w:rPr>
          <w:b/>
          <w:spacing w:val="2"/>
          <w:lang w:val="en-GB"/>
        </w:rPr>
        <w:t xml:space="preserve">creasing </w:t>
      </w:r>
      <w:r w:rsidR="00185DB3">
        <w:rPr>
          <w:b/>
          <w:spacing w:val="2"/>
          <w:lang w:val="en-GB"/>
        </w:rPr>
        <w:t>resistance</w:t>
      </w:r>
      <w:r w:rsidR="00C150D1">
        <w:rPr>
          <w:b/>
          <w:spacing w:val="2"/>
          <w:lang w:val="en-GB"/>
        </w:rPr>
        <w:t xml:space="preserve"> </w:t>
      </w:r>
      <w:r w:rsidR="003022F2" w:rsidRPr="00802C75">
        <w:rPr>
          <w:b/>
          <w:spacing w:val="2"/>
          <w:lang w:val="en-GB"/>
        </w:rPr>
        <w:t xml:space="preserve">to ciprofloxacin in South </w:t>
      </w:r>
      <w:proofErr w:type="gramStart"/>
      <w:r w:rsidR="003022F2" w:rsidRPr="00802C75">
        <w:rPr>
          <w:b/>
          <w:spacing w:val="2"/>
          <w:lang w:val="en-GB"/>
        </w:rPr>
        <w:t>Africa</w:t>
      </w:r>
      <w:proofErr w:type="gramEnd"/>
      <w:r w:rsidR="003022F2" w:rsidRPr="00802C75">
        <w:rPr>
          <w:b/>
          <w:spacing w:val="2"/>
          <w:lang w:val="en-GB"/>
        </w:rPr>
        <w:t xml:space="preserve"> and it is important to send specimens for culture and sensitivity prior to commencing antibiotic therapy.</w:t>
      </w:r>
    </w:p>
    <w:p w14:paraId="222AF6FF" w14:textId="77777777" w:rsidR="003022F2" w:rsidRPr="0039680A" w:rsidRDefault="003022F2">
      <w:pPr>
        <w:rPr>
          <w:spacing w:val="2"/>
          <w:sz w:val="14"/>
          <w:lang w:val="en-GB"/>
        </w:rPr>
      </w:pPr>
    </w:p>
    <w:p w14:paraId="65526735" w14:textId="77777777" w:rsidR="00E75400" w:rsidRPr="00802C75" w:rsidRDefault="00E0022A">
      <w:pPr>
        <w:rPr>
          <w:spacing w:val="2"/>
          <w:lang w:val="en-GB"/>
        </w:rPr>
      </w:pPr>
      <w:r w:rsidRPr="00802C75">
        <w:rPr>
          <w:spacing w:val="2"/>
          <w:lang w:val="en-GB"/>
        </w:rPr>
        <w:t xml:space="preserve">Total duration of antibiotic therapy: </w:t>
      </w:r>
      <w:r w:rsidR="00F622BB" w:rsidRPr="00802C75">
        <w:rPr>
          <w:spacing w:val="2"/>
          <w:lang w:val="en-GB"/>
        </w:rPr>
        <w:t>10 days</w:t>
      </w:r>
      <w:r w:rsidRPr="00802C75">
        <w:rPr>
          <w:spacing w:val="2"/>
          <w:lang w:val="en-GB"/>
        </w:rPr>
        <w:t>.</w:t>
      </w:r>
    </w:p>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
      </w:tblGrid>
      <w:tr w:rsidR="00BF473B" w:rsidRPr="00AE506D" w14:paraId="45753D45" w14:textId="77777777" w:rsidTr="00CB690F">
        <w:tc>
          <w:tcPr>
            <w:tcW w:w="1134" w:type="dxa"/>
            <w:shd w:val="clear" w:color="auto" w:fill="auto"/>
          </w:tcPr>
          <w:p w14:paraId="254E3C8A" w14:textId="2F84B153" w:rsidR="00BF473B" w:rsidRPr="00AE506D" w:rsidRDefault="00BF473B" w:rsidP="00CB690F">
            <w:pPr>
              <w:jc w:val="right"/>
              <w:rPr>
                <w:b/>
                <w:i/>
                <w:sz w:val="16"/>
              </w:rPr>
            </w:pPr>
            <w:proofErr w:type="spellStart"/>
            <w:r w:rsidRPr="00AE506D">
              <w:rPr>
                <w:i/>
                <w:sz w:val="16"/>
              </w:rPr>
              <w:t>LoE:I</w:t>
            </w:r>
            <w:r w:rsidR="00942AEF">
              <w:rPr>
                <w:i/>
                <w:sz w:val="16"/>
              </w:rPr>
              <w:t>I</w:t>
            </w:r>
            <w:r w:rsidRPr="00AE506D">
              <w:rPr>
                <w:i/>
                <w:sz w:val="16"/>
              </w:rPr>
              <w:t>I</w:t>
            </w:r>
            <w:r w:rsidR="00942AEF">
              <w:rPr>
                <w:i/>
                <w:sz w:val="16"/>
              </w:rPr>
              <w:t>b</w:t>
            </w:r>
            <w:proofErr w:type="spellEnd"/>
            <w:r w:rsidRPr="00AE506D">
              <w:rPr>
                <w:i/>
                <w:sz w:val="16"/>
                <w:vertAlign w:val="superscript"/>
              </w:rPr>
              <w:endnoteReference w:id="39"/>
            </w:r>
          </w:p>
        </w:tc>
      </w:tr>
    </w:tbl>
    <w:p w14:paraId="3DBC5051" w14:textId="77777777" w:rsidR="007503B0" w:rsidRPr="00BF473B" w:rsidRDefault="007503B0">
      <w:pPr>
        <w:rPr>
          <w:spacing w:val="2"/>
          <w:sz w:val="2"/>
          <w:lang w:val="en-GB"/>
        </w:rPr>
      </w:pPr>
    </w:p>
    <w:p w14:paraId="7C61FB81" w14:textId="77777777" w:rsidR="002F33E4" w:rsidRDefault="006D4FB6" w:rsidP="00EE6A3C">
      <w:pPr>
        <w:pStyle w:val="Medicinebullet1"/>
        <w:numPr>
          <w:ilvl w:val="0"/>
          <w:numId w:val="3"/>
        </w:numPr>
        <w:ind w:left="284" w:hanging="284"/>
        <w:rPr>
          <w:rFonts w:cs="Arial"/>
          <w:spacing w:val="2"/>
          <w:lang w:val="en-GB"/>
        </w:rPr>
      </w:pPr>
      <w:r w:rsidRPr="00802C75">
        <w:rPr>
          <w:rFonts w:cs="Arial"/>
          <w:spacing w:val="2"/>
          <w:lang w:val="en-GB"/>
        </w:rPr>
        <w:t>Ceftriaxone, IV, 2 g</w:t>
      </w:r>
      <w:r w:rsidR="003022F2" w:rsidRPr="00802C75">
        <w:rPr>
          <w:rFonts w:cs="Arial"/>
          <w:spacing w:val="2"/>
          <w:lang w:val="en-GB"/>
        </w:rPr>
        <w:t xml:space="preserve"> 12 h</w:t>
      </w:r>
      <w:r w:rsidR="00352896" w:rsidRPr="00802C75">
        <w:rPr>
          <w:rFonts w:cs="Arial"/>
          <w:spacing w:val="2"/>
          <w:lang w:val="en-GB"/>
        </w:rPr>
        <w:t>ou</w:t>
      </w:r>
      <w:r w:rsidR="003022F2" w:rsidRPr="00802C75">
        <w:rPr>
          <w:rFonts w:cs="Arial"/>
          <w:spacing w:val="2"/>
          <w:lang w:val="en-GB"/>
        </w:rPr>
        <w:t>rly</w:t>
      </w:r>
      <w:r w:rsidRPr="00802C75">
        <w:rPr>
          <w:rFonts w:cs="Arial"/>
          <w:spacing w:val="2"/>
          <w:lang w:val="en-GB"/>
        </w:rPr>
        <w:t>.</w:t>
      </w:r>
    </w:p>
    <w:p w14:paraId="55FA7A06" w14:textId="77777777" w:rsidR="00797FCE" w:rsidRPr="00332747" w:rsidRDefault="00797FCE" w:rsidP="00E0022A">
      <w:pPr>
        <w:rPr>
          <w:spacing w:val="2"/>
          <w:sz w:val="14"/>
          <w:lang w:val="en-GB"/>
        </w:rPr>
      </w:pPr>
    </w:p>
    <w:p w14:paraId="05282342" w14:textId="306BC2CE" w:rsidR="00BF473B" w:rsidRPr="00802C75" w:rsidRDefault="008E3B65" w:rsidP="00E0022A">
      <w:pPr>
        <w:rPr>
          <w:spacing w:val="2"/>
          <w:u w:val="single"/>
          <w:lang w:val="en-GB"/>
        </w:rPr>
      </w:pPr>
      <w:r w:rsidRPr="008E3B65">
        <w:rPr>
          <w:spacing w:val="2"/>
          <w:u w:val="single"/>
          <w:lang w:val="en-GB"/>
        </w:rPr>
        <w:t>Follow with oral therapy as soon as patient can swallow and the temperature is &lt;37.8</w:t>
      </w:r>
      <w:r w:rsidR="009434C3" w:rsidRPr="009434C3">
        <w:rPr>
          <w:spacing w:val="2"/>
          <w:u w:val="single"/>
          <w:vertAlign w:val="superscript"/>
          <w:lang w:val="en-GB"/>
        </w:rPr>
        <w:t>o</w:t>
      </w:r>
      <w:r w:rsidR="009434C3">
        <w:rPr>
          <w:spacing w:val="2"/>
          <w:u w:val="single"/>
          <w:lang w:val="en-GB"/>
        </w:rPr>
        <w:t>C</w:t>
      </w:r>
      <w:r w:rsidRPr="008E3B65">
        <w:rPr>
          <w:spacing w:val="2"/>
          <w:u w:val="single"/>
          <w:lang w:val="en-GB"/>
        </w:rPr>
        <w:t xml:space="preserve"> for 24 hours</w:t>
      </w:r>
      <w:r w:rsidR="0040596D">
        <w:rPr>
          <w:spacing w:val="2"/>
          <w:u w:val="single"/>
          <w:lang w:val="en-GB"/>
        </w:rPr>
        <w:t xml:space="preserve">, </w:t>
      </w:r>
      <w:r w:rsidR="003022F2" w:rsidRPr="00802C75">
        <w:rPr>
          <w:spacing w:val="2"/>
          <w:u w:val="single"/>
          <w:lang w:val="en-GB"/>
        </w:rPr>
        <w:t>based on culture sensitivity results</w:t>
      </w:r>
      <w:r w:rsidR="00E0022A" w:rsidRPr="00802C75">
        <w:rPr>
          <w:spacing w:val="2"/>
          <w:u w:val="single"/>
          <w:lang w:val="en-GB"/>
        </w:rPr>
        <w:t>:</w:t>
      </w:r>
    </w:p>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
      </w:tblGrid>
      <w:tr w:rsidR="00BF473B" w:rsidRPr="00AE506D" w14:paraId="159686A8" w14:textId="77777777" w:rsidTr="00CB690F">
        <w:tc>
          <w:tcPr>
            <w:tcW w:w="1134" w:type="dxa"/>
            <w:shd w:val="clear" w:color="auto" w:fill="auto"/>
          </w:tcPr>
          <w:p w14:paraId="6FDD3DBE" w14:textId="0D8B578F" w:rsidR="00BF473B" w:rsidRPr="00AE506D" w:rsidRDefault="00BF473B" w:rsidP="00CB690F">
            <w:pPr>
              <w:jc w:val="right"/>
              <w:rPr>
                <w:b/>
                <w:i/>
                <w:sz w:val="16"/>
              </w:rPr>
            </w:pPr>
            <w:proofErr w:type="spellStart"/>
            <w:r w:rsidRPr="00AE506D">
              <w:rPr>
                <w:i/>
                <w:sz w:val="16"/>
              </w:rPr>
              <w:t>LoE:</w:t>
            </w:r>
            <w:r w:rsidR="000D4E09" w:rsidRPr="00AE506D">
              <w:rPr>
                <w:i/>
                <w:sz w:val="16"/>
              </w:rPr>
              <w:t>I</w:t>
            </w:r>
            <w:r w:rsidR="000D4E09">
              <w:rPr>
                <w:i/>
                <w:sz w:val="16"/>
              </w:rPr>
              <w:t>Vb</w:t>
            </w:r>
            <w:proofErr w:type="spellEnd"/>
          </w:p>
        </w:tc>
      </w:tr>
    </w:tbl>
    <w:p w14:paraId="4AB88C69" w14:textId="77777777" w:rsidR="00E0022A" w:rsidRPr="00BF473B" w:rsidRDefault="00E0022A" w:rsidP="00E0022A">
      <w:pPr>
        <w:rPr>
          <w:spacing w:val="2"/>
          <w:sz w:val="2"/>
          <w:u w:val="single"/>
          <w:lang w:val="en-GB"/>
        </w:rPr>
      </w:pPr>
    </w:p>
    <w:p w14:paraId="24EF6686" w14:textId="04A8733B" w:rsidR="002F33E4" w:rsidRDefault="00E0022A" w:rsidP="00EE6A3C">
      <w:pPr>
        <w:pStyle w:val="Medicinebullet1"/>
        <w:numPr>
          <w:ilvl w:val="0"/>
          <w:numId w:val="3"/>
        </w:numPr>
        <w:ind w:left="284" w:hanging="284"/>
        <w:rPr>
          <w:spacing w:val="2"/>
          <w:lang w:val="en-GB"/>
        </w:rPr>
      </w:pPr>
      <w:r w:rsidRPr="00802C75">
        <w:rPr>
          <w:rFonts w:cs="Arial"/>
          <w:spacing w:val="2"/>
          <w:lang w:val="en-GB"/>
        </w:rPr>
        <w:t xml:space="preserve">Ciprofloxacin, oral, </w:t>
      </w:r>
      <w:r w:rsidR="003C1C5C">
        <w:rPr>
          <w:rFonts w:cs="Arial"/>
          <w:spacing w:val="2"/>
          <w:lang w:val="en-GB"/>
        </w:rPr>
        <w:t>500</w:t>
      </w:r>
      <w:r w:rsidR="00A95734">
        <w:rPr>
          <w:rFonts w:cs="Arial"/>
          <w:spacing w:val="2"/>
          <w:lang w:val="en-GB"/>
        </w:rPr>
        <w:t xml:space="preserve"> </w:t>
      </w:r>
      <w:r w:rsidRPr="00802C75">
        <w:rPr>
          <w:rFonts w:cs="Arial"/>
          <w:spacing w:val="2"/>
          <w:lang w:val="en-GB"/>
        </w:rPr>
        <w:t>mg 12 hourly</w:t>
      </w:r>
      <w:r w:rsidRPr="00802C75">
        <w:rPr>
          <w:spacing w:val="2"/>
          <w:lang w:val="en-GB"/>
        </w:rPr>
        <w:t>.</w:t>
      </w:r>
    </w:p>
    <w:p w14:paraId="0F3CD602" w14:textId="77777777" w:rsidR="00E0022A" w:rsidRPr="0039680A" w:rsidRDefault="00E0022A" w:rsidP="006D4FB6">
      <w:pPr>
        <w:rPr>
          <w:sz w:val="14"/>
          <w:lang w:val="en-GB"/>
        </w:rPr>
      </w:pPr>
    </w:p>
    <w:p w14:paraId="2BEACE77" w14:textId="77777777" w:rsidR="006D4FB6" w:rsidRPr="00787369" w:rsidRDefault="006D4FB6" w:rsidP="006D4FB6">
      <w:pPr>
        <w:rPr>
          <w:spacing w:val="-2"/>
          <w:lang w:val="en-GB"/>
        </w:rPr>
      </w:pPr>
      <w:r w:rsidRPr="00787369">
        <w:rPr>
          <w:spacing w:val="-2"/>
          <w:lang w:val="en-GB"/>
        </w:rPr>
        <w:t>Stool cultures must be repeated at weekly intervals after convalescence to ensure that a carrier state has not developed. Two consecutive negative stool cultures are required to exclude carrier state. This is of vital importance in food handlers, who must not be permitted to return to work until stools are negative.</w:t>
      </w:r>
    </w:p>
    <w:p w14:paraId="69FF667F" w14:textId="77777777" w:rsidR="006D4FB6" w:rsidRPr="00BF473B" w:rsidRDefault="006D4FB6" w:rsidP="006D4FB6">
      <w:pPr>
        <w:rPr>
          <w:sz w:val="14"/>
          <w:lang w:val="en-GB"/>
        </w:rPr>
      </w:pPr>
    </w:p>
    <w:p w14:paraId="060C09FB" w14:textId="31C4EF61" w:rsidR="006D4FB6" w:rsidRPr="00E32B04" w:rsidRDefault="006D4FB6" w:rsidP="006D4FB6">
      <w:pPr>
        <w:rPr>
          <w:lang w:val="en-GB"/>
        </w:rPr>
      </w:pPr>
      <w:r w:rsidRPr="00802C75">
        <w:rPr>
          <w:u w:val="single"/>
          <w:lang w:val="en-GB"/>
        </w:rPr>
        <w:t>Chronic carriers:</w:t>
      </w:r>
      <w:r w:rsidR="00E32B04">
        <w:rPr>
          <w:u w:val="single"/>
          <w:lang w:val="en-GB"/>
        </w:rPr>
        <w:t xml:space="preserve"> </w:t>
      </w:r>
      <w:r w:rsidR="00A95734">
        <w:rPr>
          <w:u w:val="single"/>
          <w:lang w:val="en-GB"/>
        </w:rPr>
        <w:t>(</w:t>
      </w:r>
      <w:r w:rsidR="00E32B04" w:rsidRPr="00AE506D">
        <w:rPr>
          <w:sz w:val="16"/>
          <w:lang w:val="en-GB"/>
        </w:rPr>
        <w:t>Z22.0</w:t>
      </w:r>
      <w:r w:rsidR="00A95734">
        <w:rPr>
          <w:sz w:val="16"/>
          <w:lang w:val="en-GB"/>
        </w:rPr>
        <w:t>)</w:t>
      </w:r>
    </w:p>
    <w:p w14:paraId="16E78E9E" w14:textId="085247EA" w:rsidR="002F33E4" w:rsidRDefault="006D4FB6" w:rsidP="00A95734">
      <w:pPr>
        <w:pStyle w:val="Medicinebullet1"/>
        <w:numPr>
          <w:ilvl w:val="0"/>
          <w:numId w:val="3"/>
        </w:numPr>
        <w:ind w:left="284" w:hanging="284"/>
        <w:jc w:val="both"/>
        <w:rPr>
          <w:rFonts w:cs="Arial"/>
          <w:lang w:val="en-GB"/>
        </w:rPr>
      </w:pPr>
      <w:r w:rsidRPr="00802C75">
        <w:rPr>
          <w:rFonts w:cs="Arial"/>
          <w:lang w:val="en-GB"/>
        </w:rPr>
        <w:t xml:space="preserve">Ciprofloxacin, oral, </w:t>
      </w:r>
      <w:r w:rsidR="003C1C5C">
        <w:rPr>
          <w:rFonts w:cs="Arial"/>
          <w:lang w:val="en-GB"/>
        </w:rPr>
        <w:t>500</w:t>
      </w:r>
      <w:r w:rsidR="00A95734">
        <w:rPr>
          <w:rFonts w:cs="Arial"/>
          <w:lang w:val="en-GB"/>
        </w:rPr>
        <w:t xml:space="preserve"> </w:t>
      </w:r>
      <w:r w:rsidRPr="00802C75">
        <w:rPr>
          <w:rFonts w:cs="Arial"/>
          <w:lang w:val="en-GB"/>
        </w:rPr>
        <w:t>mg 12 hourly for 6 weeks</w:t>
      </w:r>
      <w:r w:rsidR="003022F2" w:rsidRPr="00802C75">
        <w:rPr>
          <w:rFonts w:cs="Arial"/>
          <w:lang w:val="en-GB"/>
        </w:rPr>
        <w:t xml:space="preserve"> (if sensitive to ciprofloxacin)</w:t>
      </w:r>
      <w:r w:rsidRPr="00802C75">
        <w:rPr>
          <w:rFonts w:cs="Arial"/>
          <w:lang w:val="en-GB"/>
        </w:rPr>
        <w:t>.</w:t>
      </w:r>
    </w:p>
    <w:p w14:paraId="4C571239" w14:textId="77777777" w:rsidR="00950521" w:rsidRDefault="00C53E66" w:rsidP="00A95734">
      <w:pPr>
        <w:numPr>
          <w:ilvl w:val="0"/>
          <w:numId w:val="10"/>
        </w:numPr>
        <w:tabs>
          <w:tab w:val="clear" w:pos="2694"/>
          <w:tab w:val="clear" w:pos="2977"/>
        </w:tabs>
        <w:ind w:left="567" w:hanging="283"/>
        <w:rPr>
          <w:color w:val="auto"/>
          <w:lang w:val="en-GB"/>
        </w:rPr>
      </w:pPr>
      <w:r w:rsidRPr="00C53E66">
        <w:rPr>
          <w:color w:val="auto"/>
          <w:lang w:val="en-GB"/>
        </w:rPr>
        <w:t>Advi</w:t>
      </w:r>
      <w:r>
        <w:rPr>
          <w:color w:val="auto"/>
          <w:lang w:val="en-GB"/>
        </w:rPr>
        <w:t>s</w:t>
      </w:r>
      <w:r w:rsidRPr="00C53E66">
        <w:rPr>
          <w:color w:val="auto"/>
          <w:lang w:val="en-GB"/>
        </w:rPr>
        <w:t xml:space="preserve">e </w:t>
      </w:r>
      <w:r w:rsidR="005E2A11" w:rsidRPr="00C53E66">
        <w:rPr>
          <w:color w:val="auto"/>
          <w:lang w:val="en-GB"/>
        </w:rPr>
        <w:t>strict hand washing</w:t>
      </w:r>
      <w:r w:rsidR="00D12DFB" w:rsidRPr="00C53E66">
        <w:rPr>
          <w:color w:val="auto"/>
          <w:lang w:val="en-GB"/>
        </w:rPr>
        <w:t>.</w:t>
      </w:r>
    </w:p>
    <w:p w14:paraId="4362F1D8" w14:textId="77777777" w:rsidR="00950521" w:rsidRDefault="005E2A11" w:rsidP="00A95734">
      <w:pPr>
        <w:numPr>
          <w:ilvl w:val="0"/>
          <w:numId w:val="10"/>
        </w:numPr>
        <w:tabs>
          <w:tab w:val="clear" w:pos="2694"/>
          <w:tab w:val="clear" w:pos="2977"/>
        </w:tabs>
        <w:ind w:left="567" w:hanging="283"/>
        <w:rPr>
          <w:color w:val="auto"/>
          <w:lang w:val="en-GB"/>
        </w:rPr>
      </w:pPr>
      <w:r w:rsidRPr="00C53E66">
        <w:rPr>
          <w:color w:val="auto"/>
          <w:lang w:val="en-GB"/>
        </w:rPr>
        <w:t>Avoid food preparation for others during severe illness</w:t>
      </w:r>
      <w:r w:rsidR="00D12DFB" w:rsidRPr="00C53E66">
        <w:rPr>
          <w:color w:val="auto"/>
          <w:lang w:val="en-GB"/>
        </w:rPr>
        <w:t>.</w:t>
      </w:r>
    </w:p>
    <w:p w14:paraId="45E4BCD7" w14:textId="77777777" w:rsidR="002F448A" w:rsidRPr="002F448A" w:rsidRDefault="002F448A" w:rsidP="006D4FB6">
      <w:pPr>
        <w:rPr>
          <w:bCs/>
          <w:caps/>
          <w:lang w:val="en-GB"/>
        </w:rPr>
      </w:pPr>
    </w:p>
    <w:p w14:paraId="732D67FB" w14:textId="77777777" w:rsidR="006D4FB6" w:rsidRPr="00802C75" w:rsidRDefault="006D4FB6" w:rsidP="006D4FB6">
      <w:pPr>
        <w:rPr>
          <w:b/>
          <w:bCs/>
          <w:caps/>
          <w:sz w:val="20"/>
          <w:lang w:val="en-GB"/>
        </w:rPr>
      </w:pPr>
      <w:r w:rsidRPr="00802C75">
        <w:rPr>
          <w:b/>
          <w:bCs/>
          <w:caps/>
          <w:sz w:val="20"/>
          <w:lang w:val="en-GB"/>
        </w:rPr>
        <w:lastRenderedPageBreak/>
        <w:t>Referral</w:t>
      </w:r>
    </w:p>
    <w:p w14:paraId="2FFB0D42" w14:textId="77777777" w:rsidR="006D4FB6" w:rsidRDefault="006D4FB6" w:rsidP="00BF473B">
      <w:pPr>
        <w:pStyle w:val="Textbullet"/>
        <w:widowControl w:val="0"/>
        <w:numPr>
          <w:ilvl w:val="0"/>
          <w:numId w:val="0"/>
        </w:numPr>
        <w:rPr>
          <w:lang w:val="en-GB"/>
        </w:rPr>
      </w:pPr>
      <w:r w:rsidRPr="00802C75">
        <w:rPr>
          <w:lang w:val="en-GB"/>
        </w:rPr>
        <w:t xml:space="preserve">Surgical consultation for complications such as intestinal haemorrhage, threatening bowel perforation or localisation with metastatic infection with or without abscess formation, and peritonitis. </w:t>
      </w:r>
    </w:p>
    <w:p w14:paraId="39C86C4A" w14:textId="6007F28A" w:rsidR="00023EC2" w:rsidRPr="00802C75" w:rsidRDefault="00023EC2" w:rsidP="00BF473B">
      <w:pPr>
        <w:pStyle w:val="Textbullet"/>
        <w:widowControl w:val="0"/>
        <w:numPr>
          <w:ilvl w:val="0"/>
          <w:numId w:val="0"/>
        </w:numPr>
        <w:rPr>
          <w:lang w:val="en-GB"/>
        </w:rPr>
      </w:pPr>
      <w:r>
        <w:rPr>
          <w:lang w:val="en-GB"/>
        </w:rPr>
        <w:t>Drug resistant organism: consult microbiology/infectious diseases</w:t>
      </w:r>
      <w:r w:rsidR="0087697D">
        <w:rPr>
          <w:lang w:val="en-GB"/>
        </w:rPr>
        <w:t xml:space="preserve"> services.</w:t>
      </w:r>
    </w:p>
    <w:p w14:paraId="37B36912" w14:textId="540D9DAA" w:rsidR="00EE6A3C" w:rsidRDefault="00EE6A3C" w:rsidP="006D4FB6">
      <w:pPr>
        <w:rPr>
          <w:lang w:val="en-GB"/>
        </w:rPr>
      </w:pPr>
    </w:p>
    <w:p w14:paraId="29665255" w14:textId="77777777" w:rsidR="00EE6A3C" w:rsidRDefault="00EE6A3C" w:rsidP="006D4FB6">
      <w:pPr>
        <w:rPr>
          <w:lang w:val="en-GB"/>
        </w:rPr>
      </w:pPr>
    </w:p>
    <w:p w14:paraId="07DD1C80" w14:textId="77777777" w:rsidR="006D4FB6" w:rsidRPr="00802C75" w:rsidRDefault="006D4FB6" w:rsidP="006D4FB6">
      <w:pPr>
        <w:pStyle w:val="Heading1"/>
        <w:rPr>
          <w:rFonts w:cs="Arial"/>
          <w:lang w:val="en-GB"/>
        </w:rPr>
      </w:pPr>
      <w:bookmarkStart w:id="13" w:name="_Toc433976364"/>
      <w:bookmarkStart w:id="14" w:name="_Toc434078407"/>
      <w:bookmarkStart w:id="15" w:name="_Toc417044511"/>
      <w:bookmarkStart w:id="16" w:name="_Toc417984485"/>
      <w:r w:rsidRPr="00802C75">
        <w:rPr>
          <w:rFonts w:cs="Arial"/>
          <w:lang w:val="en-GB"/>
        </w:rPr>
        <w:t>9.</w:t>
      </w:r>
      <w:r w:rsidR="00234210" w:rsidRPr="00802C75">
        <w:rPr>
          <w:rFonts w:cs="Arial"/>
          <w:lang w:val="en-GB"/>
        </w:rPr>
        <w:t>1</w:t>
      </w:r>
      <w:r w:rsidR="00234210">
        <w:rPr>
          <w:rFonts w:cs="Arial"/>
          <w:lang w:val="en-GB"/>
        </w:rPr>
        <w:t>2</w:t>
      </w:r>
      <w:r w:rsidR="00234210" w:rsidRPr="00802C75">
        <w:rPr>
          <w:rFonts w:cs="Arial"/>
          <w:lang w:val="en-GB"/>
        </w:rPr>
        <w:t xml:space="preserve"> </w:t>
      </w:r>
      <w:r w:rsidRPr="00802C75">
        <w:rPr>
          <w:rFonts w:cs="Arial"/>
          <w:lang w:val="en-GB"/>
        </w:rPr>
        <w:t>VARICELLA (chickenpox)</w:t>
      </w:r>
      <w:r w:rsidR="00E0022A" w:rsidRPr="00802C75">
        <w:rPr>
          <w:rFonts w:cs="Arial"/>
          <w:lang w:val="en-GB"/>
        </w:rPr>
        <w:t>,</w:t>
      </w:r>
      <w:bookmarkEnd w:id="13"/>
      <w:bookmarkEnd w:id="14"/>
      <w:bookmarkEnd w:id="15"/>
      <w:bookmarkEnd w:id="16"/>
      <w:r w:rsidR="00627916">
        <w:rPr>
          <w:rFonts w:cs="Arial"/>
          <w:lang w:val="en-GB"/>
        </w:rPr>
        <w:t xml:space="preserve"> </w:t>
      </w:r>
      <w:r w:rsidR="00F622BB" w:rsidRPr="00802C75">
        <w:rPr>
          <w:rFonts w:cs="Arial"/>
          <w:lang w:val="en-GB"/>
        </w:rPr>
        <w:t>COMPLICATED</w:t>
      </w:r>
    </w:p>
    <w:p w14:paraId="489B1AB7" w14:textId="5A2852D9" w:rsidR="006D4FB6" w:rsidRPr="00802C75" w:rsidRDefault="006D4FB6" w:rsidP="006D4FB6">
      <w:pPr>
        <w:pStyle w:val="ICD10heading"/>
        <w:rPr>
          <w:lang w:val="en-GB"/>
        </w:rPr>
      </w:pPr>
      <w:r w:rsidRPr="00802C75">
        <w:rPr>
          <w:lang w:val="en-GB"/>
        </w:rPr>
        <w:t>B01</w:t>
      </w:r>
      <w:r w:rsidR="00E32B04">
        <w:rPr>
          <w:lang w:val="en-GB"/>
        </w:rPr>
        <w:t>.1</w:t>
      </w:r>
      <w:r w:rsidR="00630B3C" w:rsidRPr="00630B3C">
        <w:rPr>
          <w:vertAlign w:val="superscript"/>
          <w:lang w:val="en-GB"/>
        </w:rPr>
        <w:t>†</w:t>
      </w:r>
      <w:r w:rsidR="00E32B04">
        <w:rPr>
          <w:lang w:val="en-GB"/>
        </w:rPr>
        <w:t xml:space="preserve"> + (G02.0</w:t>
      </w:r>
      <w:r w:rsidR="00556381">
        <w:rPr>
          <w:lang w:val="en-GB"/>
        </w:rPr>
        <w:t>*</w:t>
      </w:r>
      <w:r w:rsidR="00E32B04">
        <w:rPr>
          <w:lang w:val="en-GB"/>
        </w:rPr>
        <w:t>/G</w:t>
      </w:r>
      <w:r w:rsidR="00630B3C">
        <w:rPr>
          <w:lang w:val="en-GB"/>
        </w:rPr>
        <w:t>05</w:t>
      </w:r>
      <w:r w:rsidR="00E32B04">
        <w:rPr>
          <w:lang w:val="en-GB"/>
        </w:rPr>
        <w:t>.1</w:t>
      </w:r>
      <w:r w:rsidR="00556381">
        <w:rPr>
          <w:lang w:val="en-GB"/>
        </w:rPr>
        <w:t>*+J17.1*)/B01.8</w:t>
      </w:r>
    </w:p>
    <w:p w14:paraId="015CAB83" w14:textId="77777777" w:rsidR="006D4FB6" w:rsidRPr="00332747" w:rsidRDefault="006D4FB6" w:rsidP="006D4FB6">
      <w:pPr>
        <w:rPr>
          <w:sz w:val="16"/>
          <w:lang w:val="en-GB"/>
        </w:rPr>
      </w:pPr>
    </w:p>
    <w:p w14:paraId="5B2C6993" w14:textId="77777777" w:rsidR="006D4FB6" w:rsidRPr="00802C75" w:rsidRDefault="006D4FB6" w:rsidP="006D4FB6">
      <w:pPr>
        <w:pStyle w:val="Heading3"/>
        <w:rPr>
          <w:lang w:val="en-GB"/>
        </w:rPr>
      </w:pPr>
      <w:r w:rsidRPr="00802C75">
        <w:rPr>
          <w:lang w:val="en-GB"/>
        </w:rPr>
        <w:t>General measures</w:t>
      </w:r>
    </w:p>
    <w:p w14:paraId="51DB13F4" w14:textId="77777777" w:rsidR="006D4FB6" w:rsidRPr="00802C75" w:rsidRDefault="006D4FB6" w:rsidP="006D4FB6">
      <w:pPr>
        <w:rPr>
          <w:lang w:val="en-GB"/>
        </w:rPr>
      </w:pPr>
      <w:r w:rsidRPr="00802C75">
        <w:rPr>
          <w:lang w:val="en-GB"/>
        </w:rPr>
        <w:t>Cool, wet compresses or tepid water baths.</w:t>
      </w:r>
    </w:p>
    <w:p w14:paraId="5C995DFE" w14:textId="77777777" w:rsidR="006D4FB6" w:rsidRPr="00802C75" w:rsidRDefault="006D4FB6" w:rsidP="006D4FB6">
      <w:pPr>
        <w:rPr>
          <w:lang w:val="en-GB"/>
        </w:rPr>
      </w:pPr>
      <w:r w:rsidRPr="00802C75">
        <w:rPr>
          <w:lang w:val="en-GB"/>
        </w:rPr>
        <w:t>Body hygiene to prevent secondary infection.</w:t>
      </w:r>
    </w:p>
    <w:p w14:paraId="02B7B7C3" w14:textId="387F479A" w:rsidR="006D4FB6" w:rsidRDefault="006D4FB6" w:rsidP="006D4FB6">
      <w:pPr>
        <w:rPr>
          <w:lang w:val="en-GB"/>
        </w:rPr>
      </w:pPr>
      <w:r w:rsidRPr="00802C75">
        <w:rPr>
          <w:lang w:val="en-GB"/>
        </w:rPr>
        <w:t>Advise against scratching.</w:t>
      </w:r>
    </w:p>
    <w:p w14:paraId="05EAA9A7" w14:textId="77777777" w:rsidR="004D3AE7" w:rsidRPr="00802C75" w:rsidRDefault="004D3AE7" w:rsidP="006D4FB6">
      <w:pPr>
        <w:rPr>
          <w:lang w:val="en-GB"/>
        </w:rPr>
      </w:pPr>
    </w:p>
    <w:p w14:paraId="7FFD3CDD" w14:textId="77777777" w:rsidR="006D4FB6" w:rsidRPr="00802C75" w:rsidRDefault="006D4FB6" w:rsidP="006D4FB6">
      <w:pPr>
        <w:pStyle w:val="Heading3"/>
        <w:rPr>
          <w:lang w:val="en-GB"/>
        </w:rPr>
      </w:pPr>
      <w:r w:rsidRPr="00802C75">
        <w:rPr>
          <w:lang w:val="en-GB"/>
        </w:rPr>
        <w:t>medicine treatment</w:t>
      </w:r>
    </w:p>
    <w:p w14:paraId="3114E6BE" w14:textId="77777777" w:rsidR="006D4FB6" w:rsidRPr="00802C75" w:rsidRDefault="006D4FB6" w:rsidP="006D4FB6">
      <w:pPr>
        <w:rPr>
          <w:lang w:val="en-GB"/>
        </w:rPr>
      </w:pPr>
      <w:r w:rsidRPr="00802C75">
        <w:rPr>
          <w:lang w:val="en-GB"/>
        </w:rPr>
        <w:t>Antiviral therapy is required in complicated cases, e.g.:</w:t>
      </w:r>
    </w:p>
    <w:p w14:paraId="09E4D5A0" w14:textId="77777777" w:rsidR="006D4FB6" w:rsidRPr="00802C75" w:rsidRDefault="006D4FB6" w:rsidP="004D3AE7">
      <w:pPr>
        <w:pStyle w:val="Textbullet"/>
        <w:ind w:left="284" w:hanging="284"/>
        <w:rPr>
          <w:lang w:val="en-GB"/>
        </w:rPr>
      </w:pPr>
      <w:r w:rsidRPr="00802C75">
        <w:rPr>
          <w:lang w:val="en-GB"/>
        </w:rPr>
        <w:t xml:space="preserve">chickenpox pneumonia, </w:t>
      </w:r>
    </w:p>
    <w:p w14:paraId="2AE4235C" w14:textId="77777777" w:rsidR="006D4FB6" w:rsidRPr="00802C75" w:rsidRDefault="006D4FB6" w:rsidP="004D3AE7">
      <w:pPr>
        <w:pStyle w:val="Textbullet"/>
        <w:ind w:left="284" w:hanging="284"/>
        <w:rPr>
          <w:lang w:val="en-GB"/>
        </w:rPr>
      </w:pPr>
      <w:r w:rsidRPr="00802C75">
        <w:rPr>
          <w:lang w:val="en-GB"/>
        </w:rPr>
        <w:t xml:space="preserve">pregnancy, </w:t>
      </w:r>
    </w:p>
    <w:p w14:paraId="0D2D37CC" w14:textId="77777777" w:rsidR="006D4FB6" w:rsidRPr="00802C75" w:rsidRDefault="006D4FB6" w:rsidP="004D3AE7">
      <w:pPr>
        <w:pStyle w:val="Textbullet"/>
        <w:ind w:left="284" w:hanging="284"/>
        <w:rPr>
          <w:lang w:val="en-GB"/>
        </w:rPr>
      </w:pPr>
      <w:r w:rsidRPr="00802C75">
        <w:rPr>
          <w:lang w:val="en-GB"/>
        </w:rPr>
        <w:t>neurological involvement, and</w:t>
      </w:r>
    </w:p>
    <w:p w14:paraId="1AC24981" w14:textId="3EC0D984" w:rsidR="006D4FB6" w:rsidRDefault="006D4FB6" w:rsidP="004D3AE7">
      <w:pPr>
        <w:pStyle w:val="Textbullet"/>
        <w:ind w:left="284" w:hanging="284"/>
        <w:rPr>
          <w:lang w:val="en-GB"/>
        </w:rPr>
      </w:pPr>
      <w:r w:rsidRPr="00802C75">
        <w:rPr>
          <w:lang w:val="en-GB"/>
        </w:rPr>
        <w:t>chickenpox in immunocompromised patients.</w:t>
      </w:r>
    </w:p>
    <w:p w14:paraId="07657D3D" w14:textId="77777777" w:rsidR="00C11D30" w:rsidRDefault="00C11D30" w:rsidP="00661240">
      <w:pPr>
        <w:pStyle w:val="Textbullet"/>
        <w:numPr>
          <w:ilvl w:val="0"/>
          <w:numId w:val="0"/>
        </w:numPr>
        <w:ind w:left="284"/>
        <w:rPr>
          <w:lang w:val="en-GB"/>
        </w:rPr>
      </w:pPr>
    </w:p>
    <w:p w14:paraId="2A8A9CC7" w14:textId="77777777" w:rsidR="006D4FB6" w:rsidRPr="00802C75" w:rsidRDefault="006D4FB6" w:rsidP="004D3AE7">
      <w:pPr>
        <w:pStyle w:val="Medicinebullet1"/>
        <w:numPr>
          <w:ilvl w:val="0"/>
          <w:numId w:val="3"/>
        </w:numPr>
        <w:ind w:left="284" w:hanging="284"/>
        <w:rPr>
          <w:rFonts w:cs="Arial"/>
          <w:lang w:val="en-GB"/>
        </w:rPr>
      </w:pPr>
      <w:r w:rsidRPr="00802C75">
        <w:rPr>
          <w:rFonts w:cs="Arial"/>
          <w:lang w:val="en-GB"/>
        </w:rPr>
        <w:t xml:space="preserve">Aciclovir, IV, 10 mg/kg administrerd over one hour 8 hourly for </w:t>
      </w:r>
      <w:r w:rsidR="002F448A" w:rsidRPr="002F448A">
        <w:rPr>
          <w:rFonts w:cs="Arial"/>
          <w:lang w:val="en-GB"/>
        </w:rPr>
        <w:t>7</w:t>
      </w:r>
      <w:r w:rsidRPr="002F448A">
        <w:rPr>
          <w:rFonts w:cs="Arial"/>
          <w:lang w:val="en-GB"/>
        </w:rPr>
        <w:t xml:space="preserve"> days.</w:t>
      </w:r>
      <w:r w:rsidRPr="00802C75">
        <w:rPr>
          <w:rFonts w:cs="Arial"/>
          <w:lang w:val="en-GB"/>
        </w:rPr>
        <w:t xml:space="preserve"> </w:t>
      </w:r>
    </w:p>
    <w:p w14:paraId="241772B2" w14:textId="1029AD5F" w:rsidR="00D8148A" w:rsidRDefault="006D4FB6" w:rsidP="00D8148A">
      <w:pPr>
        <w:tabs>
          <w:tab w:val="clear" w:pos="2694"/>
          <w:tab w:val="clear" w:pos="2977"/>
        </w:tabs>
        <w:jc w:val="left"/>
        <w:rPr>
          <w:spacing w:val="-2"/>
          <w:lang w:val="en-GB"/>
        </w:rPr>
      </w:pPr>
      <w:r w:rsidRPr="00787369">
        <w:rPr>
          <w:spacing w:val="-2"/>
          <w:lang w:val="en-GB"/>
        </w:rPr>
        <w:t>The course can be completed with</w:t>
      </w:r>
      <w:r w:rsidR="00D8148A">
        <w:rPr>
          <w:spacing w:val="-2"/>
          <w:lang w:val="en-GB"/>
        </w:rPr>
        <w:t>:</w:t>
      </w:r>
    </w:p>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43"/>
      </w:tblGrid>
      <w:tr w:rsidR="00570848" w:rsidRPr="00AE506D" w14:paraId="1B5B9A2A" w14:textId="77777777" w:rsidTr="00BB7E19">
        <w:tc>
          <w:tcPr>
            <w:tcW w:w="1043" w:type="dxa"/>
            <w:shd w:val="clear" w:color="auto" w:fill="auto"/>
          </w:tcPr>
          <w:p w14:paraId="5CB15D78" w14:textId="56617FC7" w:rsidR="00570848" w:rsidRPr="00AE506D" w:rsidRDefault="00570848" w:rsidP="00570848">
            <w:pPr>
              <w:jc w:val="right"/>
              <w:rPr>
                <w:b/>
                <w:i/>
                <w:sz w:val="16"/>
              </w:rPr>
            </w:pPr>
            <w:proofErr w:type="spellStart"/>
            <w:r>
              <w:rPr>
                <w:i/>
                <w:sz w:val="16"/>
              </w:rPr>
              <w:t>LoE:</w:t>
            </w:r>
            <w:r w:rsidR="00942AEF">
              <w:rPr>
                <w:i/>
                <w:sz w:val="16"/>
              </w:rPr>
              <w:t>IVb</w:t>
            </w:r>
            <w:proofErr w:type="spellEnd"/>
            <w:r>
              <w:rPr>
                <w:rStyle w:val="EndnoteReference"/>
                <w:i/>
                <w:sz w:val="16"/>
              </w:rPr>
              <w:endnoteReference w:id="40"/>
            </w:r>
          </w:p>
        </w:tc>
      </w:tr>
    </w:tbl>
    <w:p w14:paraId="11DBBCD7" w14:textId="01254D9F" w:rsidR="00D8148A" w:rsidRDefault="00D8148A" w:rsidP="00D8148A">
      <w:pPr>
        <w:pStyle w:val="Medicinebullet1"/>
        <w:numPr>
          <w:ilvl w:val="0"/>
          <w:numId w:val="36"/>
        </w:numPr>
        <w:ind w:left="284" w:hanging="284"/>
        <w:rPr>
          <w:spacing w:val="-2"/>
          <w:lang w:val="en-GB"/>
        </w:rPr>
      </w:pPr>
      <w:r w:rsidRPr="00D8148A">
        <w:rPr>
          <w:spacing w:val="-2"/>
          <w:lang w:val="en-GB"/>
        </w:rPr>
        <w:t xml:space="preserve">Antiviral, (active against </w:t>
      </w:r>
      <w:r w:rsidR="009642F1">
        <w:rPr>
          <w:spacing w:val="-2"/>
          <w:lang w:val="en-GB"/>
        </w:rPr>
        <w:t>varicella</w:t>
      </w:r>
      <w:r w:rsidR="009642F1" w:rsidRPr="00D8148A">
        <w:rPr>
          <w:spacing w:val="-2"/>
          <w:lang w:val="en-GB"/>
        </w:rPr>
        <w:t xml:space="preserve"> </w:t>
      </w:r>
      <w:r w:rsidRPr="00D8148A">
        <w:rPr>
          <w:spacing w:val="-2"/>
          <w:lang w:val="en-GB"/>
        </w:rPr>
        <w:t>zoster)</w:t>
      </w:r>
      <w:r w:rsidR="00293A6B">
        <w:rPr>
          <w:spacing w:val="-2"/>
          <w:lang w:val="en-GB"/>
        </w:rPr>
        <w:t>, e.g:</w:t>
      </w:r>
    </w:p>
    <w:p w14:paraId="22AD39A3" w14:textId="2C5BEFFF" w:rsidR="00950521" w:rsidRPr="00787369" w:rsidRDefault="00D8148A" w:rsidP="00D8148A">
      <w:pPr>
        <w:pStyle w:val="Medicinebullet1"/>
        <w:numPr>
          <w:ilvl w:val="0"/>
          <w:numId w:val="3"/>
        </w:numPr>
        <w:ind w:left="284" w:hanging="284"/>
        <w:rPr>
          <w:spacing w:val="-2"/>
          <w:lang w:val="en-GB"/>
        </w:rPr>
      </w:pPr>
      <w:r>
        <w:rPr>
          <w:spacing w:val="-2"/>
          <w:lang w:val="en-GB"/>
        </w:rPr>
        <w:t>A</w:t>
      </w:r>
      <w:r w:rsidR="006D4FB6" w:rsidRPr="00787369">
        <w:rPr>
          <w:spacing w:val="-2"/>
          <w:lang w:val="en-GB"/>
        </w:rPr>
        <w:t>ciclovir, oral, 800 mg five times daily.</w:t>
      </w:r>
    </w:p>
    <w:p w14:paraId="6A88F6A8" w14:textId="77777777" w:rsidR="00146D6B" w:rsidRPr="00627916" w:rsidRDefault="00146D6B" w:rsidP="006D4FB6">
      <w:pPr>
        <w:rPr>
          <w:sz w:val="14"/>
          <w:lang w:val="en-GB"/>
        </w:rPr>
      </w:pPr>
    </w:p>
    <w:p w14:paraId="236B8012" w14:textId="77777777" w:rsidR="00E0022A" w:rsidRPr="00146D6B" w:rsidRDefault="00146D6B" w:rsidP="006D4FB6">
      <w:pPr>
        <w:rPr>
          <w:lang w:val="en-GB"/>
        </w:rPr>
      </w:pPr>
      <w:r>
        <w:rPr>
          <w:lang w:val="en-GB"/>
        </w:rPr>
        <w:t>Tr</w:t>
      </w:r>
      <w:r w:rsidRPr="00146D6B">
        <w:rPr>
          <w:lang w:val="en-GB"/>
        </w:rPr>
        <w:t>eat secondary bacterial infection if suspected</w:t>
      </w:r>
      <w:r>
        <w:rPr>
          <w:lang w:val="en-GB"/>
        </w:rPr>
        <w:t>.</w:t>
      </w:r>
    </w:p>
    <w:p w14:paraId="6E1D01BC" w14:textId="77777777" w:rsidR="00146D6B" w:rsidRPr="00332747" w:rsidRDefault="00146D6B" w:rsidP="006D4FB6">
      <w:pPr>
        <w:rPr>
          <w:sz w:val="14"/>
          <w:lang w:val="en-GB"/>
        </w:rPr>
      </w:pPr>
    </w:p>
    <w:p w14:paraId="69D88946" w14:textId="430CB847" w:rsidR="006D4FB6" w:rsidRPr="00556381" w:rsidRDefault="006D4FB6" w:rsidP="006D4FB6">
      <w:pPr>
        <w:rPr>
          <w:lang w:val="en-GB"/>
        </w:rPr>
      </w:pPr>
      <w:r w:rsidRPr="00802C75">
        <w:rPr>
          <w:u w:val="single"/>
          <w:lang w:val="en-GB"/>
        </w:rPr>
        <w:t xml:space="preserve">For </w:t>
      </w:r>
      <w:r w:rsidR="00C11D30">
        <w:rPr>
          <w:u w:val="single"/>
          <w:lang w:val="en-GB"/>
        </w:rPr>
        <w:t>close contacts</w:t>
      </w:r>
      <w:r w:rsidR="00C11D30" w:rsidRPr="00802C75">
        <w:rPr>
          <w:u w:val="single"/>
          <w:lang w:val="en-GB"/>
        </w:rPr>
        <w:t xml:space="preserve"> </w:t>
      </w:r>
      <w:r w:rsidR="00262EA4">
        <w:rPr>
          <w:u w:val="single"/>
          <w:lang w:val="en-GB"/>
        </w:rPr>
        <w:t xml:space="preserve">(household contacts or patients in adjacent beds in the same ward) </w:t>
      </w:r>
      <w:r w:rsidRPr="00802C75">
        <w:rPr>
          <w:u w:val="single"/>
          <w:lang w:val="en-GB"/>
        </w:rPr>
        <w:t>who are severely immunologically compromised and are not immune</w:t>
      </w:r>
      <w:r w:rsidR="009C34FA">
        <w:rPr>
          <w:u w:val="single"/>
          <w:lang w:val="en-GB"/>
        </w:rPr>
        <w:t xml:space="preserve"> (</w:t>
      </w:r>
      <w:proofErr w:type="gramStart"/>
      <w:r w:rsidR="009C34FA">
        <w:rPr>
          <w:u w:val="single"/>
          <w:lang w:val="en-GB"/>
        </w:rPr>
        <w:t>i.e.</w:t>
      </w:r>
      <w:proofErr w:type="gramEnd"/>
      <w:r w:rsidR="009C34FA">
        <w:rPr>
          <w:u w:val="single"/>
          <w:lang w:val="en-GB"/>
        </w:rPr>
        <w:t xml:space="preserve"> </w:t>
      </w:r>
      <w:r w:rsidR="009C34FA" w:rsidRPr="009C34FA">
        <w:rPr>
          <w:u w:val="single"/>
          <w:lang w:val="en-GB"/>
        </w:rPr>
        <w:t>no history of chickenpox/shingles or negative VZV IgG</w:t>
      </w:r>
      <w:r w:rsidR="009C34FA">
        <w:rPr>
          <w:u w:val="single"/>
          <w:lang w:val="en-GB"/>
        </w:rPr>
        <w:t>)</w:t>
      </w:r>
      <w:r w:rsidR="00A97D17">
        <w:rPr>
          <w:u w:val="single"/>
          <w:lang w:val="en-GB"/>
        </w:rPr>
        <w:t>, following a significant exposure (household contacts)</w:t>
      </w:r>
      <w:r w:rsidRPr="00802C75">
        <w:rPr>
          <w:u w:val="single"/>
          <w:lang w:val="en-GB"/>
        </w:rPr>
        <w:t>:</w:t>
      </w:r>
      <w:r w:rsidR="00556381">
        <w:rPr>
          <w:lang w:val="en-GB"/>
        </w:rPr>
        <w:t xml:space="preserve"> </w:t>
      </w:r>
      <w:r w:rsidR="00556381" w:rsidRPr="00556381">
        <w:rPr>
          <w:sz w:val="16"/>
          <w:lang w:val="en-GB"/>
        </w:rPr>
        <w:t>(Z29.</w:t>
      </w:r>
      <w:r w:rsidR="00556381">
        <w:rPr>
          <w:sz w:val="16"/>
          <w:lang w:val="en-GB"/>
        </w:rPr>
        <w:t>1</w:t>
      </w:r>
      <w:r w:rsidR="00556381" w:rsidRPr="00556381">
        <w:rPr>
          <w:sz w:val="16"/>
          <w:lang w:val="en-GB"/>
        </w:rPr>
        <w:t>)</w:t>
      </w:r>
    </w:p>
    <w:p w14:paraId="33172590" w14:textId="77777777" w:rsidR="006D4FB6" w:rsidRPr="00802C75" w:rsidRDefault="006D4FB6" w:rsidP="00D8148A">
      <w:pPr>
        <w:pStyle w:val="Medicinebullet1"/>
        <w:numPr>
          <w:ilvl w:val="0"/>
          <w:numId w:val="3"/>
        </w:numPr>
        <w:ind w:left="284" w:hanging="284"/>
        <w:rPr>
          <w:rFonts w:cs="Arial"/>
          <w:lang w:val="en-GB"/>
        </w:rPr>
      </w:pPr>
      <w:r w:rsidRPr="00802C75">
        <w:rPr>
          <w:rFonts w:cs="Arial"/>
          <w:lang w:val="en-GB"/>
        </w:rPr>
        <w:t>Varicella-zoster immunoglobulin (VZIG), IM, 125 units/10 kg</w:t>
      </w:r>
      <w:r w:rsidR="009578D6" w:rsidRPr="00802C75">
        <w:rPr>
          <w:rFonts w:cs="Arial"/>
          <w:lang w:val="en-GB"/>
        </w:rPr>
        <w:t>.</w:t>
      </w:r>
    </w:p>
    <w:p w14:paraId="1A08C4B4" w14:textId="77777777" w:rsidR="00950521" w:rsidRDefault="006D4FB6" w:rsidP="004D3AE7">
      <w:pPr>
        <w:numPr>
          <w:ilvl w:val="0"/>
          <w:numId w:val="10"/>
        </w:numPr>
        <w:tabs>
          <w:tab w:val="clear" w:pos="2694"/>
          <w:tab w:val="clear" w:pos="2977"/>
        </w:tabs>
        <w:ind w:left="567" w:hanging="283"/>
        <w:jc w:val="left"/>
        <w:rPr>
          <w:lang w:val="en-GB"/>
        </w:rPr>
      </w:pPr>
      <w:r w:rsidRPr="00802C75">
        <w:rPr>
          <w:lang w:val="en-GB"/>
        </w:rPr>
        <w:t>Maximum dose: 625 units.</w:t>
      </w:r>
    </w:p>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43"/>
      </w:tblGrid>
      <w:tr w:rsidR="00E8562E" w:rsidRPr="00AE506D" w14:paraId="3FC02A74" w14:textId="77777777" w:rsidTr="00354AF5">
        <w:tc>
          <w:tcPr>
            <w:tcW w:w="1043" w:type="dxa"/>
            <w:shd w:val="clear" w:color="auto" w:fill="auto"/>
          </w:tcPr>
          <w:p w14:paraId="2499EA59" w14:textId="77777777" w:rsidR="00E8562E" w:rsidRPr="00AE506D" w:rsidRDefault="00E8562E" w:rsidP="00354AF5">
            <w:pPr>
              <w:jc w:val="right"/>
              <w:rPr>
                <w:b/>
                <w:i/>
                <w:sz w:val="16"/>
              </w:rPr>
            </w:pPr>
            <w:proofErr w:type="spellStart"/>
            <w:r>
              <w:rPr>
                <w:i/>
                <w:sz w:val="16"/>
              </w:rPr>
              <w:t>LoE:IVb</w:t>
            </w:r>
            <w:proofErr w:type="spellEnd"/>
            <w:r>
              <w:rPr>
                <w:rStyle w:val="EndnoteReference"/>
                <w:i/>
                <w:sz w:val="16"/>
              </w:rPr>
              <w:endnoteReference w:id="41"/>
            </w:r>
          </w:p>
        </w:tc>
      </w:tr>
    </w:tbl>
    <w:p w14:paraId="5D6EFA7E" w14:textId="77777777" w:rsidR="00950521" w:rsidRDefault="006D4FB6" w:rsidP="004D3AE7">
      <w:pPr>
        <w:numPr>
          <w:ilvl w:val="0"/>
          <w:numId w:val="10"/>
        </w:numPr>
        <w:tabs>
          <w:tab w:val="clear" w:pos="2694"/>
          <w:tab w:val="clear" w:pos="2977"/>
        </w:tabs>
        <w:ind w:left="567" w:hanging="283"/>
        <w:jc w:val="left"/>
        <w:rPr>
          <w:lang w:val="en-GB"/>
        </w:rPr>
      </w:pPr>
      <w:r w:rsidRPr="00802C75">
        <w:rPr>
          <w:lang w:val="en-GB"/>
        </w:rPr>
        <w:t xml:space="preserve">Administer within 96 hours after significant exposure. </w:t>
      </w:r>
    </w:p>
    <w:p w14:paraId="7B9A77C8" w14:textId="476FE64F" w:rsidR="006D4FB6" w:rsidRDefault="006D4FB6" w:rsidP="006D4FB6">
      <w:pPr>
        <w:rPr>
          <w:sz w:val="16"/>
          <w:lang w:val="en-GB"/>
        </w:rPr>
      </w:pPr>
    </w:p>
    <w:p w14:paraId="2AE3517F" w14:textId="77777777" w:rsidR="004D3AE7" w:rsidRPr="00332747" w:rsidRDefault="004D3AE7" w:rsidP="006D4FB6">
      <w:pPr>
        <w:rPr>
          <w:sz w:val="16"/>
          <w:lang w:val="en-GB"/>
        </w:rPr>
      </w:pPr>
    </w:p>
    <w:p w14:paraId="6FF23548" w14:textId="77777777" w:rsidR="006D4FB6" w:rsidRPr="00802C75" w:rsidRDefault="006D4FB6" w:rsidP="006D4FB6">
      <w:pPr>
        <w:pStyle w:val="Heading1"/>
        <w:rPr>
          <w:rFonts w:cs="Arial"/>
          <w:lang w:val="en-GB"/>
        </w:rPr>
      </w:pPr>
      <w:r w:rsidRPr="00802C75">
        <w:rPr>
          <w:rFonts w:cs="Arial"/>
          <w:lang w:val="en-GB"/>
        </w:rPr>
        <w:t>9.</w:t>
      </w:r>
      <w:r w:rsidR="00234210" w:rsidRPr="00802C75">
        <w:rPr>
          <w:rFonts w:cs="Arial"/>
          <w:lang w:val="en-GB"/>
        </w:rPr>
        <w:t>1</w:t>
      </w:r>
      <w:r w:rsidR="00234210">
        <w:rPr>
          <w:rFonts w:cs="Arial"/>
          <w:lang w:val="en-GB"/>
        </w:rPr>
        <w:t>3</w:t>
      </w:r>
      <w:r w:rsidR="00234210" w:rsidRPr="00802C75">
        <w:rPr>
          <w:rFonts w:cs="Arial"/>
          <w:lang w:val="en-GB"/>
        </w:rPr>
        <w:t xml:space="preserve"> </w:t>
      </w:r>
      <w:r w:rsidRPr="00802C75">
        <w:rPr>
          <w:rFonts w:cs="Arial"/>
          <w:lang w:val="en-GB"/>
        </w:rPr>
        <w:t>ZOSTER (SHINGLES)</w:t>
      </w:r>
    </w:p>
    <w:p w14:paraId="39F2EE49" w14:textId="68DD7B0E" w:rsidR="006D4FB6" w:rsidRPr="00630B3C" w:rsidRDefault="00556381" w:rsidP="006D4FB6">
      <w:pPr>
        <w:pStyle w:val="ICD10heading"/>
        <w:rPr>
          <w:lang w:val="en-GB"/>
        </w:rPr>
      </w:pPr>
      <w:r>
        <w:rPr>
          <w:lang w:val="en-GB"/>
        </w:rPr>
        <w:t>B02.</w:t>
      </w:r>
      <w:r w:rsidR="004A2D35">
        <w:rPr>
          <w:lang w:val="en-GB"/>
        </w:rPr>
        <w:t>9</w:t>
      </w:r>
    </w:p>
    <w:p w14:paraId="37AC4C59" w14:textId="77777777" w:rsidR="006D4FB6" w:rsidRPr="00332747" w:rsidRDefault="006D4FB6" w:rsidP="006D4FB6">
      <w:pPr>
        <w:rPr>
          <w:sz w:val="16"/>
          <w:lang w:val="en-GB"/>
        </w:rPr>
      </w:pPr>
    </w:p>
    <w:p w14:paraId="67F9C666" w14:textId="77777777" w:rsidR="006D4FB6" w:rsidRPr="00802C75" w:rsidRDefault="006D4FB6" w:rsidP="006228D2">
      <w:pPr>
        <w:pStyle w:val="Heading3"/>
        <w:keepNext w:val="0"/>
        <w:widowControl w:val="0"/>
        <w:rPr>
          <w:lang w:val="en-GB"/>
        </w:rPr>
      </w:pPr>
      <w:r w:rsidRPr="00802C75">
        <w:rPr>
          <w:lang w:val="en-GB"/>
        </w:rPr>
        <w:t>description</w:t>
      </w:r>
    </w:p>
    <w:p w14:paraId="743D2F9D" w14:textId="69B7D1D9" w:rsidR="006D4FB6" w:rsidRDefault="006D4FB6" w:rsidP="006228D2">
      <w:pPr>
        <w:widowControl w:val="0"/>
        <w:rPr>
          <w:lang w:val="en-GB"/>
        </w:rPr>
      </w:pPr>
      <w:r w:rsidRPr="00802C75">
        <w:rPr>
          <w:lang w:val="en-GB"/>
        </w:rPr>
        <w:t>Dermatomal eruption of vesicles on an erythematous base due to varicella-zoster virus (lies dormant in nerve ganglia following chickenpox).</w:t>
      </w:r>
    </w:p>
    <w:p w14:paraId="4BFA68BE" w14:textId="77777777" w:rsidR="00AB3685" w:rsidRPr="00802C75" w:rsidRDefault="00AB3685" w:rsidP="006228D2">
      <w:pPr>
        <w:widowControl w:val="0"/>
        <w:rPr>
          <w:lang w:val="en-GB"/>
        </w:rPr>
      </w:pPr>
    </w:p>
    <w:p w14:paraId="6A587DD6" w14:textId="77777777" w:rsidR="006D4FB6" w:rsidRPr="00802C75" w:rsidRDefault="006D4FB6" w:rsidP="006D4FB6">
      <w:pPr>
        <w:pStyle w:val="Heading3"/>
        <w:rPr>
          <w:lang w:val="en-GB"/>
        </w:rPr>
      </w:pPr>
      <w:r w:rsidRPr="00802C75">
        <w:rPr>
          <w:lang w:val="en-GB"/>
        </w:rPr>
        <w:lastRenderedPageBreak/>
        <w:t>General measures</w:t>
      </w:r>
    </w:p>
    <w:p w14:paraId="5FE078D8" w14:textId="77777777" w:rsidR="006D4FB6" w:rsidRPr="00802C75" w:rsidRDefault="006D4FB6" w:rsidP="006D4FB6">
      <w:pPr>
        <w:rPr>
          <w:lang w:val="en-GB"/>
        </w:rPr>
      </w:pPr>
      <w:r w:rsidRPr="00802C75">
        <w:rPr>
          <w:lang w:val="en-GB"/>
        </w:rPr>
        <w:t xml:space="preserve">Isolate from immunocompromised or pregnant non-immune individuals (who may develop severe chickenpox). </w:t>
      </w:r>
    </w:p>
    <w:p w14:paraId="4188EB35" w14:textId="55266581" w:rsidR="006D4FB6" w:rsidRPr="00802C75" w:rsidRDefault="006D4FB6" w:rsidP="006D4FB6">
      <w:pPr>
        <w:rPr>
          <w:lang w:val="en-GB"/>
        </w:rPr>
      </w:pPr>
      <w:r w:rsidRPr="00802C75">
        <w:rPr>
          <w:lang w:val="en-GB"/>
        </w:rPr>
        <w:t>Offer HIV test</w:t>
      </w:r>
      <w:r w:rsidR="00FE73F0">
        <w:rPr>
          <w:lang w:val="en-GB"/>
        </w:rPr>
        <w:t>,</w:t>
      </w:r>
      <w:r w:rsidRPr="00802C75">
        <w:rPr>
          <w:lang w:val="en-GB"/>
        </w:rPr>
        <w:t xml:space="preserve"> especially in patients &lt;50 years of age.</w:t>
      </w:r>
    </w:p>
    <w:p w14:paraId="3CB429F2" w14:textId="77777777" w:rsidR="00C212A4" w:rsidRDefault="00C212A4" w:rsidP="006D4FB6">
      <w:pPr>
        <w:pStyle w:val="Heading3"/>
        <w:rPr>
          <w:b w:val="0"/>
          <w:sz w:val="16"/>
          <w:lang w:val="en-GB"/>
        </w:rPr>
      </w:pPr>
    </w:p>
    <w:p w14:paraId="66B9ECA6" w14:textId="77777777" w:rsidR="006D4FB6" w:rsidRPr="00802C75" w:rsidRDefault="006D4FB6" w:rsidP="00C212A4">
      <w:pPr>
        <w:pStyle w:val="Heading3"/>
        <w:keepNext w:val="0"/>
        <w:widowControl w:val="0"/>
        <w:rPr>
          <w:lang w:val="en-GB"/>
        </w:rPr>
      </w:pPr>
      <w:r w:rsidRPr="00802C75">
        <w:rPr>
          <w:lang w:val="en-GB"/>
        </w:rPr>
        <w:t xml:space="preserve">medicine treatment </w:t>
      </w:r>
    </w:p>
    <w:p w14:paraId="05B87DF1" w14:textId="77777777" w:rsidR="006D4FB6" w:rsidRPr="00802C75" w:rsidRDefault="006D4FB6" w:rsidP="00C212A4">
      <w:pPr>
        <w:widowControl w:val="0"/>
        <w:rPr>
          <w:lang w:val="en-GB"/>
        </w:rPr>
      </w:pPr>
      <w:r w:rsidRPr="00802C75">
        <w:rPr>
          <w:lang w:val="en-GB"/>
        </w:rPr>
        <w:t>Antiviral therapy, for:</w:t>
      </w:r>
    </w:p>
    <w:p w14:paraId="11C42DAB" w14:textId="77777777" w:rsidR="006D4FB6" w:rsidRPr="00802C75" w:rsidRDefault="006D4FB6" w:rsidP="00A95734">
      <w:pPr>
        <w:pStyle w:val="Textbullet"/>
        <w:widowControl w:val="0"/>
        <w:ind w:left="284" w:hanging="284"/>
        <w:rPr>
          <w:lang w:val="en-GB"/>
        </w:rPr>
      </w:pPr>
      <w:r w:rsidRPr="00802C75">
        <w:rPr>
          <w:lang w:val="en-GB"/>
        </w:rPr>
        <w:t>zoster in immunocompromised patients, provided that active lesions are still being formed, and</w:t>
      </w:r>
    </w:p>
    <w:p w14:paraId="2E18A58E" w14:textId="626B0723" w:rsidR="006D4FB6" w:rsidRPr="00802C75" w:rsidRDefault="006D4FB6" w:rsidP="00A95734">
      <w:pPr>
        <w:pStyle w:val="Textbullet"/>
        <w:widowControl w:val="0"/>
        <w:ind w:left="284" w:hanging="284"/>
        <w:rPr>
          <w:lang w:val="en-GB"/>
        </w:rPr>
      </w:pPr>
      <w:r w:rsidRPr="00802C75">
        <w:rPr>
          <w:lang w:val="en-GB"/>
        </w:rPr>
        <w:t>in immunocompetent individuals provided they present within 72 hours of onset</w:t>
      </w:r>
      <w:r w:rsidR="002B3E59">
        <w:rPr>
          <w:lang w:val="en-GB"/>
        </w:rPr>
        <w:t xml:space="preserve"> </w:t>
      </w:r>
      <w:r w:rsidR="009805E7" w:rsidRPr="002B3E59">
        <w:rPr>
          <w:color w:val="auto"/>
          <w:lang w:val="en-GB"/>
        </w:rPr>
        <w:t>of</w:t>
      </w:r>
      <w:r w:rsidR="00E16522" w:rsidRPr="002B3E59">
        <w:rPr>
          <w:color w:val="auto"/>
          <w:lang w:val="en-GB"/>
        </w:rPr>
        <w:t xml:space="preserve"> clinical symptoms</w:t>
      </w:r>
      <w:r w:rsidRPr="002B3E59">
        <w:rPr>
          <w:color w:val="auto"/>
          <w:lang w:val="en-GB"/>
        </w:rPr>
        <w:t>.</w:t>
      </w:r>
    </w:p>
    <w:p w14:paraId="0294076A" w14:textId="77777777" w:rsidR="00876821" w:rsidRDefault="00876821" w:rsidP="00A95734">
      <w:pPr>
        <w:pStyle w:val="Medicinebullet1"/>
        <w:numPr>
          <w:ilvl w:val="0"/>
          <w:numId w:val="28"/>
        </w:numPr>
        <w:ind w:left="284" w:hanging="284"/>
        <w:jc w:val="both"/>
        <w:rPr>
          <w:rFonts w:cs="Arial"/>
          <w:lang w:val="en-GB"/>
        </w:rPr>
      </w:pPr>
      <w:r>
        <w:rPr>
          <w:rFonts w:cs="Arial"/>
          <w:lang w:val="en-GB"/>
        </w:rPr>
        <w:t>Antiviral</w:t>
      </w:r>
      <w:r w:rsidR="00556381">
        <w:rPr>
          <w:rFonts w:cs="Arial"/>
          <w:lang w:val="en-GB"/>
        </w:rPr>
        <w:t xml:space="preserve"> </w:t>
      </w:r>
      <w:r w:rsidRPr="005504AC">
        <w:rPr>
          <w:rFonts w:cs="Arial"/>
          <w:lang w:eastAsia="en-ZA"/>
        </w:rPr>
        <w:t>(active against herpes zoster) e.g.:</w:t>
      </w:r>
    </w:p>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Look w:val="04A0" w:firstRow="1" w:lastRow="0" w:firstColumn="1" w:lastColumn="0" w:noHBand="0" w:noVBand="1"/>
      </w:tblPr>
      <w:tblGrid>
        <w:gridCol w:w="1134"/>
      </w:tblGrid>
      <w:tr w:rsidR="00876821" w:rsidRPr="005504AC" w14:paraId="3B95AF88" w14:textId="77777777" w:rsidTr="00FB04EE">
        <w:tc>
          <w:tcPr>
            <w:tcW w:w="1134" w:type="dxa"/>
            <w:shd w:val="clear" w:color="auto" w:fill="FFFFFF" w:themeFill="background1"/>
          </w:tcPr>
          <w:p w14:paraId="03ED2449" w14:textId="6B4513F6" w:rsidR="00876821" w:rsidRPr="00FB04EE" w:rsidRDefault="00876821" w:rsidP="00FB04EE">
            <w:pPr>
              <w:jc w:val="right"/>
              <w:rPr>
                <w:i/>
                <w:sz w:val="16"/>
                <w:szCs w:val="16"/>
              </w:rPr>
            </w:pPr>
            <w:proofErr w:type="spellStart"/>
            <w:r w:rsidRPr="00FB04EE">
              <w:rPr>
                <w:i/>
                <w:sz w:val="16"/>
                <w:szCs w:val="16"/>
              </w:rPr>
              <w:t>LoE:I</w:t>
            </w:r>
            <w:r w:rsidR="00942AEF">
              <w:rPr>
                <w:i/>
                <w:sz w:val="16"/>
                <w:szCs w:val="16"/>
              </w:rPr>
              <w:t>Vb</w:t>
            </w:r>
            <w:proofErr w:type="spellEnd"/>
            <w:r w:rsidRPr="00FB04EE">
              <w:rPr>
                <w:rStyle w:val="EndnoteReference"/>
                <w:i/>
                <w:sz w:val="16"/>
                <w:szCs w:val="16"/>
              </w:rPr>
              <w:endnoteReference w:id="42"/>
            </w:r>
          </w:p>
        </w:tc>
      </w:tr>
    </w:tbl>
    <w:p w14:paraId="787BC8EA" w14:textId="77777777" w:rsidR="00876821" w:rsidRPr="00876821" w:rsidRDefault="00876821" w:rsidP="00876821">
      <w:pPr>
        <w:pStyle w:val="Medicinebullet1"/>
        <w:ind w:left="284"/>
        <w:rPr>
          <w:rFonts w:cs="Arial"/>
          <w:sz w:val="2"/>
          <w:lang w:val="en-GB"/>
        </w:rPr>
      </w:pPr>
    </w:p>
    <w:p w14:paraId="3FD7A5BB" w14:textId="77777777" w:rsidR="006D4FB6" w:rsidRPr="00802C75" w:rsidRDefault="006D4FB6" w:rsidP="00664D12">
      <w:pPr>
        <w:pStyle w:val="Medicinebullet1"/>
        <w:numPr>
          <w:ilvl w:val="0"/>
          <w:numId w:val="36"/>
        </w:numPr>
        <w:ind w:left="284" w:hanging="284"/>
        <w:rPr>
          <w:rFonts w:cs="Arial"/>
          <w:lang w:val="en-GB"/>
        </w:rPr>
      </w:pPr>
      <w:r w:rsidRPr="00802C75">
        <w:rPr>
          <w:rFonts w:cs="Arial"/>
          <w:lang w:val="en-GB"/>
        </w:rPr>
        <w:t>Aciclovir, oral, 800 mg five times daily for 7 days (4 hourly missing the middle of the night dose).</w:t>
      </w:r>
    </w:p>
    <w:p w14:paraId="4EFDBFFD" w14:textId="77777777" w:rsidR="00967BD8" w:rsidRPr="00332747" w:rsidRDefault="00967BD8" w:rsidP="006D4FB6">
      <w:pPr>
        <w:rPr>
          <w:sz w:val="14"/>
          <w:lang w:val="en-GB"/>
        </w:rPr>
      </w:pPr>
    </w:p>
    <w:p w14:paraId="77BB2A91" w14:textId="05D8030E" w:rsidR="006D4FB6" w:rsidRDefault="006D4FB6" w:rsidP="006D4FB6">
      <w:pPr>
        <w:rPr>
          <w:u w:val="single"/>
          <w:lang w:val="en-GB"/>
        </w:rPr>
      </w:pPr>
      <w:r w:rsidRPr="00802C75">
        <w:rPr>
          <w:u w:val="single"/>
          <w:lang w:val="en-GB"/>
        </w:rPr>
        <w:t>For zoster with secondary dissemination or neurological</w:t>
      </w:r>
      <w:r w:rsidR="004A2D35">
        <w:rPr>
          <w:u w:val="single"/>
          <w:lang w:val="en-GB"/>
        </w:rPr>
        <w:t xml:space="preserve">/ eye </w:t>
      </w:r>
      <w:r w:rsidRPr="00802C75">
        <w:rPr>
          <w:u w:val="single"/>
          <w:lang w:val="en-GB"/>
        </w:rPr>
        <w:t xml:space="preserve">involvement: </w:t>
      </w:r>
    </w:p>
    <w:p w14:paraId="74F4322E" w14:textId="2A3E12E9" w:rsidR="004A2D35" w:rsidRPr="004A2D35" w:rsidRDefault="004A2D35" w:rsidP="004A2D35">
      <w:pPr>
        <w:rPr>
          <w:spacing w:val="-4"/>
          <w:sz w:val="16"/>
          <w:szCs w:val="16"/>
          <w:lang w:val="en-GB"/>
        </w:rPr>
      </w:pPr>
      <w:r w:rsidRPr="004A2D35">
        <w:rPr>
          <w:spacing w:val="-4"/>
          <w:sz w:val="16"/>
          <w:szCs w:val="16"/>
          <w:lang w:val="en-GB"/>
        </w:rPr>
        <w:t>B02.7/B02.0-2</w:t>
      </w:r>
      <w:r w:rsidRPr="004A2D35">
        <w:rPr>
          <w:spacing w:val="-4"/>
          <w:sz w:val="16"/>
          <w:szCs w:val="16"/>
          <w:vertAlign w:val="superscript"/>
          <w:lang w:val="en-GB"/>
        </w:rPr>
        <w:t>†</w:t>
      </w:r>
      <w:r w:rsidRPr="004A2D35">
        <w:rPr>
          <w:spacing w:val="-4"/>
          <w:sz w:val="16"/>
          <w:szCs w:val="16"/>
          <w:lang w:val="en-GB"/>
        </w:rPr>
        <w:t>+(G02.0*/G05.1*/G53.0*/G63.0*)/</w:t>
      </w:r>
      <w:r>
        <w:rPr>
          <w:spacing w:val="-4"/>
          <w:sz w:val="16"/>
          <w:szCs w:val="16"/>
          <w:lang w:val="en-GB"/>
        </w:rPr>
        <w:t xml:space="preserve"> </w:t>
      </w:r>
      <w:r w:rsidRPr="004A2D35">
        <w:rPr>
          <w:spacing w:val="-4"/>
          <w:sz w:val="16"/>
          <w:szCs w:val="16"/>
          <w:lang w:val="en-GB"/>
        </w:rPr>
        <w:t>B02.3</w:t>
      </w:r>
      <w:r w:rsidRPr="004A2D35">
        <w:rPr>
          <w:spacing w:val="-4"/>
          <w:sz w:val="16"/>
          <w:szCs w:val="16"/>
          <w:vertAlign w:val="superscript"/>
          <w:lang w:val="en-GB"/>
        </w:rPr>
        <w:t>†</w:t>
      </w:r>
      <w:r w:rsidRPr="004A2D35">
        <w:rPr>
          <w:spacing w:val="-4"/>
          <w:sz w:val="16"/>
          <w:szCs w:val="16"/>
          <w:lang w:val="en-GB"/>
        </w:rPr>
        <w:t>+(H03.1*/H13.1*/H22.0*/H19.2*/</w:t>
      </w:r>
      <w:r>
        <w:rPr>
          <w:spacing w:val="-4"/>
          <w:sz w:val="16"/>
          <w:szCs w:val="16"/>
          <w:lang w:val="en-GB"/>
        </w:rPr>
        <w:t xml:space="preserve"> </w:t>
      </w:r>
      <w:r w:rsidRPr="004A2D35">
        <w:rPr>
          <w:spacing w:val="-4"/>
          <w:sz w:val="16"/>
          <w:szCs w:val="16"/>
          <w:lang w:val="en-GB"/>
        </w:rPr>
        <w:t>H19.0*)</w:t>
      </w:r>
    </w:p>
    <w:p w14:paraId="24A8D220" w14:textId="77777777" w:rsidR="006D4FB6" w:rsidRPr="00802C75" w:rsidRDefault="006D4FB6" w:rsidP="00D8148A">
      <w:pPr>
        <w:pStyle w:val="Medicinebullet1"/>
        <w:numPr>
          <w:ilvl w:val="0"/>
          <w:numId w:val="36"/>
        </w:numPr>
        <w:jc w:val="both"/>
        <w:rPr>
          <w:rFonts w:cs="Arial"/>
          <w:lang w:val="en-GB"/>
        </w:rPr>
      </w:pPr>
      <w:r w:rsidRPr="00802C75">
        <w:rPr>
          <w:rFonts w:cs="Arial"/>
          <w:lang w:val="en-GB"/>
        </w:rPr>
        <w:t xml:space="preserve">Aciclovir, IV, 10 mg/kg administred over one hour 8 hourly for 7 days. </w:t>
      </w:r>
    </w:p>
    <w:p w14:paraId="7B91D78F" w14:textId="77777777" w:rsidR="00D756B2" w:rsidRPr="00CD43A0" w:rsidRDefault="006D4FB6" w:rsidP="00A95734">
      <w:pPr>
        <w:numPr>
          <w:ilvl w:val="0"/>
          <w:numId w:val="10"/>
        </w:numPr>
        <w:tabs>
          <w:tab w:val="clear" w:pos="2694"/>
          <w:tab w:val="clear" w:pos="2977"/>
        </w:tabs>
        <w:ind w:left="567" w:hanging="283"/>
        <w:rPr>
          <w:spacing w:val="-2"/>
          <w:lang w:val="en-GB"/>
        </w:rPr>
      </w:pPr>
      <w:r w:rsidRPr="00CD43A0">
        <w:rPr>
          <w:spacing w:val="-2"/>
          <w:lang w:val="en-GB"/>
        </w:rPr>
        <w:t xml:space="preserve">The course can be completed with </w:t>
      </w:r>
      <w:proofErr w:type="spellStart"/>
      <w:r w:rsidRPr="00CD43A0">
        <w:rPr>
          <w:spacing w:val="-2"/>
          <w:lang w:val="en-GB"/>
        </w:rPr>
        <w:t>aciclovir</w:t>
      </w:r>
      <w:proofErr w:type="spellEnd"/>
      <w:r w:rsidR="00D245FD" w:rsidRPr="00CD43A0">
        <w:rPr>
          <w:spacing w:val="-2"/>
          <w:lang w:val="en-GB"/>
        </w:rPr>
        <w:t>, oral,</w:t>
      </w:r>
      <w:r w:rsidRPr="00CD43A0">
        <w:rPr>
          <w:spacing w:val="-2"/>
          <w:lang w:val="en-GB"/>
        </w:rPr>
        <w:t xml:space="preserve"> 800 mg five times daily.</w:t>
      </w:r>
    </w:p>
    <w:p w14:paraId="25078329" w14:textId="77777777" w:rsidR="00084B09" w:rsidRDefault="00FF32F6" w:rsidP="00A95734">
      <w:pPr>
        <w:numPr>
          <w:ilvl w:val="0"/>
          <w:numId w:val="10"/>
        </w:numPr>
        <w:tabs>
          <w:tab w:val="clear" w:pos="2694"/>
          <w:tab w:val="clear" w:pos="2977"/>
        </w:tabs>
        <w:ind w:left="567" w:hanging="283"/>
        <w:rPr>
          <w:lang w:val="en-GB"/>
        </w:rPr>
      </w:pPr>
      <w:r w:rsidRPr="00084B09">
        <w:rPr>
          <w:color w:val="auto"/>
          <w:lang w:val="en-GB"/>
        </w:rPr>
        <w:t>Dose adjustment based on renal clearance</w:t>
      </w:r>
      <w:r w:rsidR="00876821">
        <w:rPr>
          <w:color w:val="auto"/>
          <w:lang w:val="en-GB"/>
        </w:rPr>
        <w:t xml:space="preserve"> </w:t>
      </w:r>
      <w:r w:rsidR="00084B09" w:rsidRPr="00802C75">
        <w:rPr>
          <w:lang w:val="en-GB"/>
        </w:rPr>
        <w:t xml:space="preserve">(See </w:t>
      </w:r>
      <w:r w:rsidR="00084B09">
        <w:rPr>
          <w:lang w:val="en-GB"/>
        </w:rPr>
        <w:t xml:space="preserve">Appendix </w:t>
      </w:r>
      <w:proofErr w:type="spellStart"/>
      <w:r w:rsidR="00084B09">
        <w:rPr>
          <w:lang w:val="en-GB"/>
        </w:rPr>
        <w:t>II</w:t>
      </w:r>
      <w:r w:rsidR="00084B09" w:rsidRPr="00802C75">
        <w:rPr>
          <w:lang w:val="en-GB"/>
        </w:rPr>
        <w:t>for</w:t>
      </w:r>
      <w:proofErr w:type="spellEnd"/>
      <w:r w:rsidR="00084B09" w:rsidRPr="00802C75">
        <w:rPr>
          <w:lang w:val="en-GB"/>
        </w:rPr>
        <w:t xml:space="preserve"> </w:t>
      </w:r>
      <w:r w:rsidR="00084B09">
        <w:rPr>
          <w:lang w:val="en-GB"/>
        </w:rPr>
        <w:t xml:space="preserve">guidance on </w:t>
      </w:r>
      <w:r w:rsidR="00084B09" w:rsidRPr="00802C75">
        <w:rPr>
          <w:lang w:val="en-GB"/>
        </w:rPr>
        <w:t>prescribing and monitoring).</w:t>
      </w:r>
    </w:p>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
      </w:tblGrid>
      <w:tr w:rsidR="00084B09" w:rsidRPr="00AE506D" w14:paraId="1A1BD01D" w14:textId="77777777" w:rsidTr="004A5FD6">
        <w:tc>
          <w:tcPr>
            <w:tcW w:w="1134" w:type="dxa"/>
            <w:shd w:val="clear" w:color="auto" w:fill="auto"/>
          </w:tcPr>
          <w:p w14:paraId="2C3F7943" w14:textId="756FEC5A" w:rsidR="00084B09" w:rsidRPr="00AE506D" w:rsidRDefault="00084B09" w:rsidP="004A5FD6">
            <w:pPr>
              <w:jc w:val="right"/>
              <w:rPr>
                <w:b/>
                <w:i/>
                <w:sz w:val="16"/>
              </w:rPr>
            </w:pPr>
            <w:proofErr w:type="spellStart"/>
            <w:r w:rsidRPr="00AE506D">
              <w:rPr>
                <w:i/>
                <w:sz w:val="16"/>
              </w:rPr>
              <w:t>LoE:I</w:t>
            </w:r>
            <w:r w:rsidR="00942AEF">
              <w:rPr>
                <w:i/>
                <w:sz w:val="16"/>
              </w:rPr>
              <w:t>Vb</w:t>
            </w:r>
            <w:proofErr w:type="spellEnd"/>
            <w:r w:rsidRPr="00AE506D">
              <w:rPr>
                <w:i/>
                <w:sz w:val="16"/>
                <w:vertAlign w:val="superscript"/>
              </w:rPr>
              <w:endnoteReference w:id="43"/>
            </w:r>
          </w:p>
        </w:tc>
      </w:tr>
    </w:tbl>
    <w:p w14:paraId="380BBB08" w14:textId="77777777" w:rsidR="00D756B2" w:rsidRDefault="00D756B2" w:rsidP="00084B09">
      <w:pPr>
        <w:tabs>
          <w:tab w:val="clear" w:pos="2694"/>
          <w:tab w:val="clear" w:pos="2977"/>
        </w:tabs>
        <w:ind w:left="720"/>
        <w:jc w:val="left"/>
        <w:rPr>
          <w:color w:val="auto"/>
          <w:lang w:val="en-GB"/>
        </w:rPr>
      </w:pPr>
    </w:p>
    <w:p w14:paraId="10D5747D" w14:textId="77777777" w:rsidR="00AE506D" w:rsidRDefault="006D4FB6" w:rsidP="006D4FB6">
      <w:pPr>
        <w:rPr>
          <w:b/>
          <w:lang w:val="en-GB"/>
        </w:rPr>
      </w:pPr>
      <w:r w:rsidRPr="00802C75">
        <w:rPr>
          <w:b/>
          <w:lang w:val="en-GB"/>
        </w:rPr>
        <w:t>Secondary infection</w:t>
      </w:r>
      <w:r w:rsidR="00DC6566">
        <w:rPr>
          <w:b/>
          <w:lang w:val="en-GB"/>
        </w:rPr>
        <w:t xml:space="preserve"> </w:t>
      </w:r>
    </w:p>
    <w:p w14:paraId="67E28CD1" w14:textId="77777777" w:rsidR="006D4FB6" w:rsidRPr="00DC6566" w:rsidRDefault="00DC6566" w:rsidP="006D4FB6">
      <w:pPr>
        <w:rPr>
          <w:sz w:val="16"/>
          <w:lang w:val="en-GB"/>
        </w:rPr>
      </w:pPr>
      <w:r>
        <w:rPr>
          <w:sz w:val="16"/>
          <w:lang w:val="en-GB"/>
        </w:rPr>
        <w:t>B02.8</w:t>
      </w:r>
    </w:p>
    <w:p w14:paraId="79410A9C" w14:textId="77777777" w:rsidR="006D4FB6" w:rsidRPr="00802C75" w:rsidRDefault="006D4FB6" w:rsidP="006D4FB6">
      <w:pPr>
        <w:rPr>
          <w:lang w:val="en-GB"/>
        </w:rPr>
      </w:pPr>
      <w:r w:rsidRPr="00802C75">
        <w:rPr>
          <w:lang w:val="en-GB"/>
        </w:rPr>
        <w:t>This is seldom present and is over-diagnosed. The vesicles in shingles often contain purulent material, and erythema is a cardinal feature of shingles. If there is suspected associated bacterial cellulitis:</w:t>
      </w:r>
    </w:p>
    <w:p w14:paraId="4F40F6F6" w14:textId="77777777" w:rsidR="006D4FB6" w:rsidRPr="00802C75" w:rsidRDefault="006D4FB6" w:rsidP="00D8148A">
      <w:pPr>
        <w:pStyle w:val="Medicinebullet1"/>
        <w:numPr>
          <w:ilvl w:val="0"/>
          <w:numId w:val="36"/>
        </w:numPr>
        <w:rPr>
          <w:rFonts w:cs="Arial"/>
          <w:lang w:val="en-GB"/>
        </w:rPr>
      </w:pPr>
      <w:r w:rsidRPr="00802C75">
        <w:rPr>
          <w:rFonts w:cs="Arial"/>
          <w:lang w:val="en-GB"/>
        </w:rPr>
        <w:t>Flucloxacillin, oral, 500 mg 6 hourly for 5 days.</w:t>
      </w:r>
    </w:p>
    <w:p w14:paraId="0A4F119D" w14:textId="77777777" w:rsidR="006D4FB6" w:rsidRPr="00802C75" w:rsidRDefault="006D4FB6" w:rsidP="006D4FB6">
      <w:pPr>
        <w:rPr>
          <w:lang w:val="en-GB"/>
        </w:rPr>
      </w:pPr>
    </w:p>
    <w:p w14:paraId="16636A23" w14:textId="77777777" w:rsidR="006D4FB6" w:rsidRPr="00802C75" w:rsidRDefault="00D245FD" w:rsidP="006D4FB6">
      <w:pPr>
        <w:rPr>
          <w:u w:val="single"/>
          <w:lang w:val="en-GB"/>
        </w:rPr>
      </w:pPr>
      <w:r w:rsidRPr="00802C75">
        <w:rPr>
          <w:u w:val="single"/>
          <w:lang w:val="en-GB"/>
        </w:rPr>
        <w:t>For pain:</w:t>
      </w:r>
    </w:p>
    <w:p w14:paraId="7EEB79BB" w14:textId="77777777" w:rsidR="006D4FB6" w:rsidRPr="00802C75" w:rsidRDefault="006D4FB6" w:rsidP="006D4FB6">
      <w:pPr>
        <w:rPr>
          <w:lang w:val="en-GB"/>
        </w:rPr>
      </w:pPr>
      <w:r w:rsidRPr="00802C75">
        <w:rPr>
          <w:lang w:val="en-GB"/>
        </w:rPr>
        <w:t>Pain is often very severe and requires active control. Combination of different classes of analgesics is often necessary.</w:t>
      </w:r>
    </w:p>
    <w:p w14:paraId="2AAA03E7" w14:textId="77777777" w:rsidR="006D4FB6" w:rsidRPr="00802C75" w:rsidRDefault="006D4FB6" w:rsidP="006D4FB6">
      <w:pPr>
        <w:rPr>
          <w:lang w:val="en-GB"/>
        </w:rPr>
      </w:pPr>
      <w:r w:rsidRPr="00802C75">
        <w:rPr>
          <w:lang w:val="en-GB"/>
        </w:rPr>
        <w:t>Recommended therapy for acute phase of infection, e.g.:</w:t>
      </w:r>
    </w:p>
    <w:p w14:paraId="57649041" w14:textId="1A2EB978" w:rsidR="006D4FB6" w:rsidRPr="00797FCE" w:rsidRDefault="006D4FB6" w:rsidP="00D8148A">
      <w:pPr>
        <w:pStyle w:val="Medicinebullet1"/>
        <w:numPr>
          <w:ilvl w:val="0"/>
          <w:numId w:val="36"/>
        </w:numPr>
        <w:rPr>
          <w:rFonts w:cs="Arial"/>
          <w:lang w:val="en-GB"/>
        </w:rPr>
      </w:pPr>
      <w:r w:rsidRPr="00797FCE">
        <w:rPr>
          <w:rFonts w:cs="Arial"/>
          <w:lang w:val="en-GB"/>
        </w:rPr>
        <w:t>Paracetamol, oral, 1 g 4–6 hourly when required</w:t>
      </w:r>
      <w:r w:rsidR="009434C3">
        <w:rPr>
          <w:rFonts w:cs="Arial"/>
          <w:lang w:val="en-GB"/>
        </w:rPr>
        <w:t>.</w:t>
      </w:r>
    </w:p>
    <w:p w14:paraId="47FEF790" w14:textId="77777777" w:rsidR="00D756B2" w:rsidRDefault="006A6B91" w:rsidP="00876821">
      <w:pPr>
        <w:numPr>
          <w:ilvl w:val="0"/>
          <w:numId w:val="10"/>
        </w:numPr>
        <w:tabs>
          <w:tab w:val="clear" w:pos="2694"/>
          <w:tab w:val="clear" w:pos="2977"/>
        </w:tabs>
        <w:ind w:left="567" w:hanging="283"/>
        <w:jc w:val="left"/>
        <w:rPr>
          <w:lang w:val="en-GB"/>
        </w:rPr>
      </w:pPr>
      <w:r w:rsidRPr="00802C75">
        <w:rPr>
          <w:lang w:val="en-GB"/>
        </w:rPr>
        <w:t>Maximum dose: 15 mg/kg</w:t>
      </w:r>
      <w:r w:rsidR="00797FCE">
        <w:rPr>
          <w:lang w:val="en-GB"/>
        </w:rPr>
        <w:t>/dose</w:t>
      </w:r>
      <w:r w:rsidRPr="00802C75">
        <w:rPr>
          <w:lang w:val="en-GB"/>
        </w:rPr>
        <w:t xml:space="preserve">. </w:t>
      </w:r>
    </w:p>
    <w:p w14:paraId="1B6C2303" w14:textId="3D815418" w:rsidR="00D756B2" w:rsidRDefault="006A6B91" w:rsidP="00876821">
      <w:pPr>
        <w:numPr>
          <w:ilvl w:val="0"/>
          <w:numId w:val="10"/>
        </w:numPr>
        <w:tabs>
          <w:tab w:val="clear" w:pos="2694"/>
          <w:tab w:val="clear" w:pos="2977"/>
        </w:tabs>
        <w:ind w:left="567" w:hanging="283"/>
        <w:jc w:val="left"/>
        <w:rPr>
          <w:lang w:val="en-GB"/>
        </w:rPr>
      </w:pPr>
      <w:r w:rsidRPr="00802C75">
        <w:rPr>
          <w:lang w:val="en-GB"/>
        </w:rPr>
        <w:t xml:space="preserve">Maximum </w:t>
      </w:r>
      <w:r w:rsidR="009434C3">
        <w:rPr>
          <w:lang w:val="en-GB"/>
        </w:rPr>
        <w:t xml:space="preserve">daily </w:t>
      </w:r>
      <w:r w:rsidRPr="00802C75">
        <w:rPr>
          <w:lang w:val="en-GB"/>
        </w:rPr>
        <w:t>dose: 4</w:t>
      </w:r>
      <w:r w:rsidR="009434C3">
        <w:rPr>
          <w:lang w:val="en-GB"/>
        </w:rPr>
        <w:t xml:space="preserve"> </w:t>
      </w:r>
      <w:r w:rsidRPr="00802C75">
        <w:rPr>
          <w:lang w:val="en-GB"/>
        </w:rPr>
        <w:t xml:space="preserve">g in 24 hours. </w:t>
      </w:r>
    </w:p>
    <w:p w14:paraId="1E87D972" w14:textId="6F2C0FF4" w:rsidR="006D4FB6" w:rsidRDefault="006D4FB6" w:rsidP="006D4FB6">
      <w:pPr>
        <w:pStyle w:val="Medicinebullet1"/>
        <w:rPr>
          <w:rFonts w:cs="Arial"/>
          <w:b/>
          <w:lang w:val="en-GB"/>
        </w:rPr>
      </w:pPr>
      <w:r w:rsidRPr="00816166">
        <w:rPr>
          <w:rFonts w:cs="Arial"/>
          <w:b/>
          <w:lang w:val="en-GB"/>
        </w:rPr>
        <w:t>AND/OR</w:t>
      </w:r>
    </w:p>
    <w:p w14:paraId="086CF623" w14:textId="77777777" w:rsidR="00EE6A3C" w:rsidRPr="00EE6A3C" w:rsidRDefault="00EE6A3C" w:rsidP="006D4FB6">
      <w:pPr>
        <w:pStyle w:val="Medicinebullet1"/>
        <w:rPr>
          <w:rFonts w:cs="Arial"/>
          <w:sz w:val="10"/>
          <w:szCs w:val="10"/>
          <w:lang w:val="en-GB"/>
        </w:rPr>
      </w:pPr>
    </w:p>
    <w:p w14:paraId="1023D0BD" w14:textId="77777777" w:rsidR="006D4FB6" w:rsidRPr="00802C75" w:rsidRDefault="006D4FB6" w:rsidP="006D4FB6">
      <w:pPr>
        <w:rPr>
          <w:u w:val="single"/>
          <w:lang w:val="en-GB"/>
        </w:rPr>
      </w:pPr>
      <w:r w:rsidRPr="00802C75">
        <w:rPr>
          <w:u w:val="single"/>
          <w:lang w:val="en-GB"/>
        </w:rPr>
        <w:t>If pain is not adequately controlled:</w:t>
      </w:r>
    </w:p>
    <w:p w14:paraId="490B9C48" w14:textId="53FDA1CA" w:rsidR="006D4FB6" w:rsidRPr="00802C75" w:rsidRDefault="006D4FB6" w:rsidP="00D8148A">
      <w:pPr>
        <w:pStyle w:val="Medicinebullet1"/>
        <w:numPr>
          <w:ilvl w:val="0"/>
          <w:numId w:val="36"/>
        </w:numPr>
        <w:rPr>
          <w:rFonts w:cs="Arial"/>
          <w:lang w:val="en-GB"/>
        </w:rPr>
      </w:pPr>
      <w:r w:rsidRPr="00802C75">
        <w:rPr>
          <w:rFonts w:cs="Arial"/>
          <w:lang w:val="en-GB"/>
        </w:rPr>
        <w:t>Tramadol, oral, 50</w:t>
      </w:r>
      <w:r w:rsidR="00A95734">
        <w:rPr>
          <w:rFonts w:cs="Arial"/>
          <w:lang w:val="en-GB"/>
        </w:rPr>
        <w:t>–100</w:t>
      </w:r>
      <w:r w:rsidRPr="00802C75">
        <w:rPr>
          <w:rFonts w:cs="Arial"/>
          <w:lang w:val="en-GB"/>
        </w:rPr>
        <w:t xml:space="preserve"> mg </w:t>
      </w:r>
      <w:r w:rsidR="00A95734">
        <w:rPr>
          <w:rFonts w:cs="Arial"/>
          <w:lang w:val="en-GB"/>
        </w:rPr>
        <w:t>4–</w:t>
      </w:r>
      <w:r w:rsidRPr="00802C75">
        <w:rPr>
          <w:rFonts w:cs="Arial"/>
          <w:lang w:val="en-GB"/>
        </w:rPr>
        <w:t>6 hourly.</w:t>
      </w:r>
    </w:p>
    <w:p w14:paraId="43703064" w14:textId="5C9E6556" w:rsidR="006D4FB6" w:rsidRPr="00802C75" w:rsidRDefault="006D4FB6" w:rsidP="006D4FB6">
      <w:pPr>
        <w:rPr>
          <w:lang w:val="en-GB"/>
        </w:rPr>
      </w:pPr>
      <w:r w:rsidRPr="00802C75">
        <w:rPr>
          <w:lang w:val="en-GB"/>
        </w:rPr>
        <w:t xml:space="preserve">See </w:t>
      </w:r>
      <w:r w:rsidR="00DA161B">
        <w:rPr>
          <w:lang w:val="en-GB"/>
        </w:rPr>
        <w:t xml:space="preserve">chapter </w:t>
      </w:r>
      <w:r w:rsidR="00AE5697">
        <w:rPr>
          <w:lang w:val="en-GB"/>
        </w:rPr>
        <w:t>26</w:t>
      </w:r>
      <w:r w:rsidR="00DA161B">
        <w:rPr>
          <w:lang w:val="en-GB"/>
        </w:rPr>
        <w:t>: Pain.</w:t>
      </w:r>
    </w:p>
    <w:p w14:paraId="41FD32E9" w14:textId="77777777" w:rsidR="006D4FB6" w:rsidRPr="00802C75" w:rsidRDefault="006D4FB6" w:rsidP="006D4FB6">
      <w:pPr>
        <w:rPr>
          <w:lang w:val="en-GB"/>
        </w:rPr>
      </w:pPr>
    </w:p>
    <w:p w14:paraId="2996F288" w14:textId="77777777" w:rsidR="006D4FB6" w:rsidRPr="00AE506D" w:rsidRDefault="006D4FB6" w:rsidP="006D4FB6">
      <w:pPr>
        <w:rPr>
          <w:lang w:val="en-GB"/>
        </w:rPr>
      </w:pPr>
      <w:r w:rsidRPr="00802C75">
        <w:rPr>
          <w:u w:val="single"/>
          <w:lang w:val="en-GB"/>
        </w:rPr>
        <w:t>Post-herpetic neuralgia:</w:t>
      </w:r>
      <w:r w:rsidR="00AE506D">
        <w:rPr>
          <w:lang w:val="en-GB"/>
        </w:rPr>
        <w:t xml:space="preserve"> </w:t>
      </w:r>
      <w:r w:rsidR="00AE506D" w:rsidRPr="00AE506D">
        <w:rPr>
          <w:sz w:val="16"/>
          <w:lang w:val="en-GB"/>
        </w:rPr>
        <w:t>B02.2+(G53.0*)</w:t>
      </w:r>
    </w:p>
    <w:p w14:paraId="1EE315BD" w14:textId="77777777" w:rsidR="006D4FB6" w:rsidRPr="00802C75" w:rsidRDefault="006D4FB6" w:rsidP="006D4FB6">
      <w:pPr>
        <w:rPr>
          <w:lang w:val="en-GB"/>
        </w:rPr>
      </w:pPr>
      <w:r w:rsidRPr="00802C75">
        <w:rPr>
          <w:lang w:val="en-GB"/>
        </w:rPr>
        <w:t>Initiate treatment with adjuvant therapy early.</w:t>
      </w:r>
    </w:p>
    <w:p w14:paraId="08C5AE55" w14:textId="77777777" w:rsidR="009C61F4" w:rsidRDefault="006D4FB6" w:rsidP="00D8148A">
      <w:pPr>
        <w:pStyle w:val="Medicinebullet1"/>
        <w:numPr>
          <w:ilvl w:val="0"/>
          <w:numId w:val="36"/>
        </w:numPr>
        <w:rPr>
          <w:rFonts w:cs="Arial"/>
          <w:lang w:val="en-GB"/>
        </w:rPr>
      </w:pPr>
      <w:r w:rsidRPr="00802C75">
        <w:rPr>
          <w:rFonts w:cs="Arial"/>
          <w:lang w:val="en-GB"/>
        </w:rPr>
        <w:t>Amitriptyline, oral, 25 mg at night.</w:t>
      </w:r>
    </w:p>
    <w:p w14:paraId="22BDAEF9" w14:textId="77777777" w:rsidR="00E75400" w:rsidRPr="00802C75" w:rsidRDefault="00E75400" w:rsidP="00876821">
      <w:pPr>
        <w:numPr>
          <w:ilvl w:val="0"/>
          <w:numId w:val="7"/>
        </w:numPr>
        <w:tabs>
          <w:tab w:val="clear" w:pos="2694"/>
          <w:tab w:val="clear" w:pos="2977"/>
        </w:tabs>
        <w:ind w:left="567" w:hanging="283"/>
        <w:jc w:val="left"/>
        <w:rPr>
          <w:lang w:val="en-GB"/>
        </w:rPr>
      </w:pPr>
      <w:r w:rsidRPr="00802C75" w:rsidDel="009C61F4">
        <w:rPr>
          <w:lang w:val="en-GB"/>
        </w:rPr>
        <w:t>Titrate as necessary to a maximum of 75 mg.</w:t>
      </w:r>
    </w:p>
    <w:p w14:paraId="61EE53DB" w14:textId="6C53BCB8" w:rsidR="006D4FB6" w:rsidRPr="00802C75" w:rsidRDefault="006D4FB6" w:rsidP="006D4FB6">
      <w:pPr>
        <w:rPr>
          <w:lang w:val="en-GB"/>
        </w:rPr>
      </w:pPr>
      <w:r w:rsidRPr="00802C75">
        <w:rPr>
          <w:lang w:val="en-GB"/>
        </w:rPr>
        <w:lastRenderedPageBreak/>
        <w:t xml:space="preserve">See </w:t>
      </w:r>
      <w:r w:rsidR="00F31D32">
        <w:rPr>
          <w:lang w:val="en-GB"/>
        </w:rPr>
        <w:t>section</w:t>
      </w:r>
      <w:r w:rsidR="00AE5697">
        <w:rPr>
          <w:lang w:val="en-GB"/>
        </w:rPr>
        <w:t xml:space="preserve"> </w:t>
      </w:r>
      <w:r w:rsidR="00AE5697" w:rsidRPr="00BE45C5">
        <w:t>2</w:t>
      </w:r>
      <w:r w:rsidR="00AE5697">
        <w:t>6</w:t>
      </w:r>
      <w:r w:rsidR="00AE5697" w:rsidRPr="00BE45C5">
        <w:t>.1.</w:t>
      </w:r>
      <w:r w:rsidR="00AE5697">
        <w:t>4: Neuropathic pain.</w:t>
      </w:r>
    </w:p>
    <w:p w14:paraId="0F13EAC1" w14:textId="77777777" w:rsidR="006D4FB6" w:rsidRPr="00802C75" w:rsidRDefault="006D4FB6" w:rsidP="006D4FB6">
      <w:pPr>
        <w:rPr>
          <w:lang w:val="en-GB"/>
        </w:rPr>
      </w:pPr>
    </w:p>
    <w:p w14:paraId="0A219AB3" w14:textId="77777777" w:rsidR="006D4FB6" w:rsidRPr="00802C75" w:rsidRDefault="006D4FB6" w:rsidP="006D4FB6">
      <w:pPr>
        <w:pStyle w:val="Heading3"/>
        <w:rPr>
          <w:lang w:val="en-GB"/>
        </w:rPr>
      </w:pPr>
      <w:r w:rsidRPr="00802C75">
        <w:rPr>
          <w:lang w:val="en-GB"/>
        </w:rPr>
        <w:t>Referral</w:t>
      </w:r>
    </w:p>
    <w:p w14:paraId="46387B6D" w14:textId="3C38CB56" w:rsidR="006D4FB6" w:rsidRDefault="00E0022A" w:rsidP="006D4FB6">
      <w:pPr>
        <w:pStyle w:val="Textbullet"/>
        <w:numPr>
          <w:ilvl w:val="0"/>
          <w:numId w:val="0"/>
        </w:numPr>
        <w:rPr>
          <w:color w:val="auto"/>
          <w:lang w:val="en-GB"/>
        </w:rPr>
      </w:pPr>
      <w:r w:rsidRPr="00802C75">
        <w:rPr>
          <w:lang w:val="en-GB"/>
        </w:rPr>
        <w:t xml:space="preserve">Refer </w:t>
      </w:r>
      <w:r w:rsidR="006D4FB6" w:rsidRPr="00802C75">
        <w:rPr>
          <w:lang w:val="en-GB"/>
        </w:rPr>
        <w:t>to an ophthalmologist if there is ocular involvement with ophthalmic zoster (if the tip of the nose is involved then ocular involvement</w:t>
      </w:r>
      <w:r w:rsidR="00FE73F0">
        <w:rPr>
          <w:lang w:val="en-GB"/>
        </w:rPr>
        <w:t xml:space="preserve"> is much more likely</w:t>
      </w:r>
      <w:r w:rsidR="006D4FB6" w:rsidRPr="00802C75">
        <w:rPr>
          <w:lang w:val="en-GB"/>
        </w:rPr>
        <w:t>).</w:t>
      </w:r>
      <w:r w:rsidR="004A2D35">
        <w:rPr>
          <w:lang w:val="en-GB"/>
        </w:rPr>
        <w:t xml:space="preserve"> </w:t>
      </w:r>
      <w:r w:rsidR="006D4FB6" w:rsidRPr="00802C75">
        <w:rPr>
          <w:color w:val="auto"/>
          <w:lang w:val="en-GB"/>
        </w:rPr>
        <w:t xml:space="preserve">See section 18.4: Herpes zoster </w:t>
      </w:r>
      <w:proofErr w:type="spellStart"/>
      <w:r w:rsidR="006D4FB6" w:rsidRPr="00802C75">
        <w:rPr>
          <w:color w:val="auto"/>
          <w:lang w:val="en-GB"/>
        </w:rPr>
        <w:t>ophthalmicus</w:t>
      </w:r>
      <w:proofErr w:type="spellEnd"/>
      <w:r w:rsidR="006D4FB6" w:rsidRPr="00802C75">
        <w:rPr>
          <w:color w:val="auto"/>
          <w:lang w:val="en-GB"/>
        </w:rPr>
        <w:t>.</w:t>
      </w:r>
    </w:p>
    <w:p w14:paraId="7FE3D97D" w14:textId="77777777" w:rsidR="00FF32F6" w:rsidRPr="00146D6B" w:rsidRDefault="006B3F49" w:rsidP="006D4FB6">
      <w:pPr>
        <w:pStyle w:val="Textbullet"/>
        <w:numPr>
          <w:ilvl w:val="0"/>
          <w:numId w:val="0"/>
        </w:numPr>
        <w:rPr>
          <w:color w:val="auto"/>
          <w:lang w:val="en-GB"/>
        </w:rPr>
      </w:pPr>
      <w:r>
        <w:rPr>
          <w:color w:val="auto"/>
          <w:lang w:val="en-GB"/>
        </w:rPr>
        <w:t>Patients</w:t>
      </w:r>
      <w:r w:rsidR="00FF32F6" w:rsidRPr="00146D6B">
        <w:rPr>
          <w:color w:val="auto"/>
          <w:lang w:val="en-GB"/>
        </w:rPr>
        <w:t xml:space="preserve"> who develop complications </w:t>
      </w:r>
      <w:proofErr w:type="gramStart"/>
      <w:r w:rsidR="00FF32F6" w:rsidRPr="00146D6B">
        <w:rPr>
          <w:color w:val="auto"/>
          <w:lang w:val="en-GB"/>
        </w:rPr>
        <w:t>e.g</w:t>
      </w:r>
      <w:r w:rsidR="00084B09">
        <w:rPr>
          <w:color w:val="auto"/>
          <w:lang w:val="en-GB"/>
        </w:rPr>
        <w:t>.</w:t>
      </w:r>
      <w:proofErr w:type="gramEnd"/>
      <w:r w:rsidR="00FF32F6" w:rsidRPr="00146D6B">
        <w:rPr>
          <w:color w:val="auto"/>
          <w:lang w:val="en-GB"/>
        </w:rPr>
        <w:t xml:space="preserve"> myelitis</w:t>
      </w:r>
      <w:r w:rsidR="00D576E7" w:rsidRPr="00146D6B">
        <w:rPr>
          <w:color w:val="auto"/>
          <w:lang w:val="en-GB"/>
        </w:rPr>
        <w:t>.</w:t>
      </w:r>
    </w:p>
    <w:p w14:paraId="631B88E5" w14:textId="215B31E9" w:rsidR="006A60BA" w:rsidRDefault="006A60BA" w:rsidP="006D4FB6">
      <w:pPr>
        <w:pStyle w:val="Textbullet"/>
        <w:numPr>
          <w:ilvl w:val="0"/>
          <w:numId w:val="0"/>
        </w:numPr>
        <w:rPr>
          <w:lang w:val="en-GB"/>
        </w:rPr>
      </w:pPr>
    </w:p>
    <w:p w14:paraId="1613E07F" w14:textId="77777777" w:rsidR="00F90C62" w:rsidRPr="00802C75" w:rsidRDefault="00F90C62" w:rsidP="006D4FB6">
      <w:pPr>
        <w:pStyle w:val="Textbullet"/>
        <w:numPr>
          <w:ilvl w:val="0"/>
          <w:numId w:val="0"/>
        </w:numPr>
        <w:rPr>
          <w:lang w:val="en-GB"/>
        </w:rPr>
      </w:pPr>
    </w:p>
    <w:sectPr w:rsidR="00F90C62" w:rsidRPr="00802C75" w:rsidSect="007503B0">
      <w:headerReference w:type="even" r:id="rId11"/>
      <w:headerReference w:type="default" r:id="rId12"/>
      <w:footerReference w:type="even" r:id="rId13"/>
      <w:footerReference w:type="default" r:id="rId14"/>
      <w:headerReference w:type="first" r:id="rId15"/>
      <w:footerReference w:type="first" r:id="rId16"/>
      <w:pgSz w:w="8392" w:h="11907" w:code="11"/>
      <w:pgMar w:top="709"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48FBA" w14:textId="77777777" w:rsidR="00325343" w:rsidRPr="0085135C" w:rsidRDefault="00325343" w:rsidP="0085135C">
      <w:pPr>
        <w:rPr>
          <w:b/>
          <w:sz w:val="12"/>
        </w:rPr>
      </w:pPr>
      <w:r>
        <w:rPr>
          <w:b/>
          <w:sz w:val="12"/>
        </w:rPr>
        <w:t>References:</w:t>
      </w:r>
    </w:p>
  </w:endnote>
  <w:endnote w:type="continuationSeparator" w:id="0">
    <w:p w14:paraId="4AE7FEA4" w14:textId="77777777" w:rsidR="00325343" w:rsidRPr="0085135C" w:rsidRDefault="00325343" w:rsidP="0085135C">
      <w:pPr>
        <w:rPr>
          <w:sz w:val="12"/>
        </w:rPr>
      </w:pPr>
    </w:p>
  </w:endnote>
  <w:endnote w:type="continuationNotice" w:id="1">
    <w:p w14:paraId="20AC493B" w14:textId="77777777" w:rsidR="00325343" w:rsidRPr="0085135C" w:rsidRDefault="00325343">
      <w:pPr>
        <w:rPr>
          <w:sz w:val="12"/>
        </w:rPr>
      </w:pPr>
    </w:p>
  </w:endnote>
  <w:endnote w:id="2">
    <w:p w14:paraId="0CF7962D" w14:textId="77777777" w:rsidR="00354AF5" w:rsidRPr="0085135C" w:rsidRDefault="00354AF5" w:rsidP="0085135C">
      <w:pPr>
        <w:pStyle w:val="EndnoteText"/>
        <w:tabs>
          <w:tab w:val="left" w:pos="180"/>
        </w:tabs>
        <w:rPr>
          <w:rFonts w:ascii="Arial" w:hAnsi="Arial" w:cs="Arial"/>
          <w:sz w:val="12"/>
          <w:szCs w:val="12"/>
        </w:rPr>
      </w:pPr>
      <w:r w:rsidRPr="0085135C">
        <w:rPr>
          <w:rStyle w:val="EndnoteReference"/>
          <w:rFonts w:ascii="Arial" w:hAnsi="Arial" w:cs="Arial"/>
          <w:sz w:val="12"/>
          <w:szCs w:val="12"/>
        </w:rPr>
        <w:endnoteRef/>
      </w:r>
      <w:r w:rsidRPr="0085135C">
        <w:rPr>
          <w:rFonts w:ascii="Arial" w:hAnsi="Arial" w:cs="Arial"/>
          <w:sz w:val="12"/>
          <w:szCs w:val="12"/>
        </w:rPr>
        <w:tab/>
        <w:t>Clindamycin, oral: South African Antibiotic Stewardship Programme. A Pocket Guide to Antibiotic Prescribing for Adults in South Africa, 2015.</w:t>
      </w:r>
      <w:hyperlink r:id="rId1" w:history="1">
        <w:r w:rsidRPr="005D0E90">
          <w:rPr>
            <w:rStyle w:val="Hyperlink"/>
            <w:rFonts w:ascii="Arial" w:hAnsi="Arial" w:cs="Arial"/>
            <w:sz w:val="12"/>
            <w:szCs w:val="12"/>
          </w:rPr>
          <w:t>http://www.fidssa.co.za/images/SAASP_Antibiotic_Gudidelines_2015.pdf</w:t>
        </w:r>
      </w:hyperlink>
    </w:p>
    <w:p w14:paraId="1148EBEE" w14:textId="0D9E66B9" w:rsidR="00354AF5" w:rsidRPr="0085135C" w:rsidRDefault="00354AF5" w:rsidP="0085135C">
      <w:pPr>
        <w:pStyle w:val="EndnoteText"/>
        <w:tabs>
          <w:tab w:val="left" w:pos="180"/>
        </w:tabs>
        <w:rPr>
          <w:rFonts w:ascii="Arial" w:hAnsi="Arial" w:cs="Arial"/>
          <w:sz w:val="12"/>
          <w:szCs w:val="12"/>
        </w:rPr>
      </w:pPr>
      <w:r w:rsidRPr="0085135C">
        <w:rPr>
          <w:rFonts w:ascii="Arial" w:hAnsi="Arial" w:cs="Arial"/>
          <w:sz w:val="12"/>
          <w:szCs w:val="12"/>
        </w:rPr>
        <w:tab/>
        <w:t xml:space="preserve">Clindamycin, oral:  </w:t>
      </w:r>
      <w:r w:rsidRPr="00C854C7">
        <w:rPr>
          <w:rFonts w:ascii="Arial" w:hAnsi="Arial" w:cs="Arial"/>
          <w:sz w:val="12"/>
          <w:szCs w:val="12"/>
        </w:rPr>
        <w:t>South African Medicines Formulary.  1</w:t>
      </w:r>
      <w:r>
        <w:rPr>
          <w:rFonts w:ascii="Arial" w:hAnsi="Arial" w:cs="Arial"/>
          <w:sz w:val="12"/>
          <w:szCs w:val="12"/>
        </w:rPr>
        <w:t>4</w:t>
      </w:r>
      <w:r w:rsidRPr="00C854C7">
        <w:rPr>
          <w:rFonts w:ascii="Arial" w:hAnsi="Arial" w:cs="Arial"/>
          <w:sz w:val="12"/>
          <w:szCs w:val="12"/>
        </w:rPr>
        <w:t>th Edition.  Division of Clinical Pharmacology.  University of Cape Town. 20</w:t>
      </w:r>
      <w:r>
        <w:rPr>
          <w:rFonts w:ascii="Arial" w:hAnsi="Arial" w:cs="Arial"/>
          <w:sz w:val="12"/>
          <w:szCs w:val="12"/>
        </w:rPr>
        <w:t>22</w:t>
      </w:r>
      <w:r w:rsidRPr="00C854C7">
        <w:rPr>
          <w:rFonts w:ascii="Arial" w:hAnsi="Arial" w:cs="Arial"/>
          <w:sz w:val="12"/>
          <w:szCs w:val="12"/>
        </w:rPr>
        <w:t>.</w:t>
      </w:r>
    </w:p>
    <w:p w14:paraId="358FCA0D" w14:textId="77777777" w:rsidR="00354AF5" w:rsidRPr="00D5027C" w:rsidRDefault="00354AF5" w:rsidP="0085135C">
      <w:pPr>
        <w:pStyle w:val="EndnoteText"/>
        <w:tabs>
          <w:tab w:val="left" w:pos="180"/>
        </w:tabs>
        <w:rPr>
          <w:sz w:val="12"/>
          <w:szCs w:val="12"/>
        </w:rPr>
      </w:pPr>
      <w:r w:rsidRPr="0085135C">
        <w:rPr>
          <w:rFonts w:ascii="Arial" w:hAnsi="Arial" w:cs="Arial"/>
          <w:sz w:val="12"/>
          <w:szCs w:val="12"/>
        </w:rPr>
        <w:tab/>
        <w:t>Clindamycin, oral: Bouazza N, Pestre V, Jullien V, Curis E, Urien S, Salmon D, Tréluyer JM. Population pharmacokinetics of clindamycin orally and intravenously administered  in patients with osteomyelitis. Br J ClinPharmacol. 2012 Dec;74(6):971-7.</w:t>
      </w:r>
      <w:hyperlink r:id="rId2" w:history="1">
        <w:r w:rsidRPr="00E52473">
          <w:rPr>
            <w:rStyle w:val="Hyperlink"/>
            <w:rFonts w:ascii="Arial" w:hAnsi="Arial" w:cs="Arial"/>
            <w:sz w:val="12"/>
            <w:szCs w:val="12"/>
          </w:rPr>
          <w:t>http://www.ncbi.nlm.nih.gov/pubmed/22486719</w:t>
        </w:r>
      </w:hyperlink>
    </w:p>
  </w:endnote>
  <w:endnote w:id="3">
    <w:p w14:paraId="68471E3A" w14:textId="77777777" w:rsidR="00354AF5" w:rsidRDefault="00354AF5" w:rsidP="004A56B2">
      <w:pPr>
        <w:pStyle w:val="EndnoteText"/>
        <w:tabs>
          <w:tab w:val="left" w:pos="180"/>
        </w:tabs>
        <w:rPr>
          <w:rFonts w:ascii="Arial" w:hAnsi="Arial" w:cs="Arial"/>
          <w:sz w:val="12"/>
          <w:szCs w:val="12"/>
        </w:rPr>
      </w:pPr>
      <w:r w:rsidRPr="0085135C">
        <w:rPr>
          <w:rStyle w:val="EndnoteReference"/>
          <w:rFonts w:ascii="Arial" w:hAnsi="Arial" w:cs="Arial"/>
          <w:sz w:val="12"/>
          <w:szCs w:val="12"/>
        </w:rPr>
        <w:endnoteRef/>
      </w:r>
      <w:r w:rsidRPr="0085135C">
        <w:rPr>
          <w:rFonts w:ascii="Arial" w:hAnsi="Arial" w:cs="Arial"/>
          <w:sz w:val="12"/>
          <w:szCs w:val="12"/>
        </w:rPr>
        <w:tab/>
      </w:r>
      <w:r>
        <w:rPr>
          <w:rFonts w:ascii="Arial" w:hAnsi="Arial" w:cs="Arial"/>
          <w:sz w:val="12"/>
          <w:szCs w:val="12"/>
        </w:rPr>
        <w:t>Empiric parenteral antibiotic therapy (</w:t>
      </w:r>
      <w:r w:rsidRPr="00C94625">
        <w:rPr>
          <w:rFonts w:ascii="Arial" w:hAnsi="Arial" w:cs="Arial"/>
          <w:i/>
          <w:sz w:val="12"/>
          <w:szCs w:val="12"/>
        </w:rPr>
        <w:t>S. aureus</w:t>
      </w:r>
      <w:r w:rsidRPr="00C94625">
        <w:rPr>
          <w:rFonts w:ascii="Arial" w:hAnsi="Arial" w:cs="Arial"/>
          <w:sz w:val="12"/>
          <w:szCs w:val="12"/>
        </w:rPr>
        <w:t xml:space="preserve"> infection</w:t>
      </w:r>
      <w:r>
        <w:rPr>
          <w:rFonts w:ascii="Arial" w:hAnsi="Arial" w:cs="Arial"/>
          <w:sz w:val="12"/>
          <w:szCs w:val="12"/>
        </w:rPr>
        <w:t xml:space="preserve">): </w:t>
      </w:r>
      <w:r w:rsidRPr="00C94625">
        <w:rPr>
          <w:rFonts w:ascii="Arial" w:hAnsi="Arial" w:cs="Arial"/>
          <w:sz w:val="12"/>
          <w:szCs w:val="12"/>
        </w:rPr>
        <w:t>Chong YP, Moon SM, Bang KM, Park HJ, Park SY, Kim MN, Park KH, Kim SH, Lee SO, Choi SH, Jeong JY, Woo JH, Kim YS. Treatment duration for uncomplicated Staphylococcus aureus bacteremia to prevent relapse: analysis of a prospective observational cohort study. Antimicrob Agents Chemother. 2013 Mar;57(3):1150-6.</w:t>
      </w:r>
      <w:hyperlink r:id="rId3" w:history="1">
        <w:r w:rsidRPr="00126047">
          <w:rPr>
            <w:rStyle w:val="Hyperlink"/>
            <w:rFonts w:ascii="Arial" w:hAnsi="Arial" w:cs="Arial"/>
            <w:sz w:val="12"/>
            <w:szCs w:val="12"/>
          </w:rPr>
          <w:t>http://www.ncbi.nlm.nih.gov/pubmed/23254436</w:t>
        </w:r>
      </w:hyperlink>
    </w:p>
    <w:p w14:paraId="0B5F782E" w14:textId="77777777" w:rsidR="00354AF5" w:rsidRPr="00C94625" w:rsidRDefault="00354AF5" w:rsidP="004A56B2">
      <w:pPr>
        <w:pStyle w:val="EndnoteText"/>
        <w:tabs>
          <w:tab w:val="left" w:pos="180"/>
        </w:tabs>
        <w:rPr>
          <w:rFonts w:ascii="Arial" w:hAnsi="Arial" w:cs="Arial"/>
          <w:sz w:val="12"/>
          <w:szCs w:val="12"/>
        </w:rPr>
      </w:pPr>
      <w:r>
        <w:rPr>
          <w:rFonts w:ascii="Arial" w:hAnsi="Arial" w:cs="Arial"/>
          <w:sz w:val="12"/>
          <w:szCs w:val="12"/>
        </w:rPr>
        <w:tab/>
        <w:t>Empiric parenteral antibiotic therapy (</w:t>
      </w:r>
      <w:r w:rsidRPr="00C94625">
        <w:rPr>
          <w:rFonts w:ascii="Arial" w:hAnsi="Arial" w:cs="Arial"/>
          <w:i/>
          <w:sz w:val="12"/>
          <w:szCs w:val="12"/>
        </w:rPr>
        <w:t>S. aureus</w:t>
      </w:r>
      <w:r w:rsidRPr="00C94625">
        <w:rPr>
          <w:rFonts w:ascii="Arial" w:hAnsi="Arial" w:cs="Arial"/>
          <w:sz w:val="12"/>
          <w:szCs w:val="12"/>
        </w:rPr>
        <w:t xml:space="preserve"> infection</w:t>
      </w:r>
      <w:r>
        <w:rPr>
          <w:rFonts w:ascii="Arial" w:hAnsi="Arial" w:cs="Arial"/>
          <w:sz w:val="12"/>
          <w:szCs w:val="12"/>
        </w:rPr>
        <w:t xml:space="preserve">): </w:t>
      </w:r>
      <w:r w:rsidRPr="00C94625">
        <w:rPr>
          <w:rFonts w:ascii="Arial" w:hAnsi="Arial" w:cs="Arial"/>
          <w:sz w:val="12"/>
          <w:szCs w:val="12"/>
        </w:rPr>
        <w:t xml:space="preserve">Liu C, Bayer A, Cosgrove SE, Daum RS, Fridkin SK, Gorwitz RJ, Kaplan SL, Karchmer AW, Levine DP, Murray BE, J Rybak M, Talan DA, Chambers HF; Infectious Diseases Society of America. Clinical practice guidelines by the infectious diseases society of america for the treatment of methicillin-resistant Staphylococcus aureus infections in adults and children. Clin Infect Dis. 2011 Feb 1;52(3):e18-55. </w:t>
      </w:r>
      <w:hyperlink r:id="rId4" w:history="1">
        <w:r w:rsidRPr="005D0E90">
          <w:rPr>
            <w:rStyle w:val="Hyperlink"/>
            <w:rFonts w:ascii="Arial" w:hAnsi="Arial" w:cs="Arial"/>
            <w:sz w:val="12"/>
            <w:szCs w:val="12"/>
          </w:rPr>
          <w:t>http://www.ncbi.nlm.nih.gov/pubmed/21208910</w:t>
        </w:r>
      </w:hyperlink>
    </w:p>
  </w:endnote>
  <w:endnote w:id="4">
    <w:p w14:paraId="39D2482B" w14:textId="77777777" w:rsidR="00354AF5" w:rsidRPr="00C94625" w:rsidDel="004A56B2" w:rsidRDefault="00354AF5" w:rsidP="00D024FB">
      <w:pPr>
        <w:pStyle w:val="EndnoteText"/>
        <w:tabs>
          <w:tab w:val="left" w:pos="180"/>
        </w:tabs>
        <w:rPr>
          <w:rFonts w:ascii="Arial" w:hAnsi="Arial" w:cs="Arial"/>
          <w:sz w:val="12"/>
          <w:szCs w:val="12"/>
        </w:rPr>
      </w:pPr>
      <w:r w:rsidRPr="0085135C">
        <w:rPr>
          <w:rStyle w:val="EndnoteReference"/>
          <w:rFonts w:ascii="Arial" w:hAnsi="Arial" w:cs="Arial"/>
          <w:sz w:val="12"/>
          <w:szCs w:val="12"/>
        </w:rPr>
        <w:endnoteRef/>
      </w:r>
      <w:r w:rsidRPr="0085135C">
        <w:rPr>
          <w:rFonts w:ascii="Arial" w:hAnsi="Arial" w:cs="Arial"/>
          <w:sz w:val="12"/>
          <w:szCs w:val="12"/>
        </w:rPr>
        <w:tab/>
      </w:r>
      <w:r>
        <w:rPr>
          <w:rFonts w:ascii="Arial" w:hAnsi="Arial" w:cs="Arial"/>
          <w:sz w:val="12"/>
          <w:szCs w:val="12"/>
        </w:rPr>
        <w:t>Empiric candidaemia therapy (</w:t>
      </w:r>
      <w:r w:rsidRPr="004A56B2">
        <w:rPr>
          <w:rFonts w:ascii="Arial" w:hAnsi="Arial" w:cs="Arial"/>
          <w:sz w:val="12"/>
          <w:szCs w:val="12"/>
        </w:rPr>
        <w:t>duration of 2 weeks)</w:t>
      </w:r>
      <w:r>
        <w:rPr>
          <w:rFonts w:ascii="Arial" w:hAnsi="Arial" w:cs="Arial"/>
          <w:sz w:val="12"/>
          <w:szCs w:val="12"/>
        </w:rPr>
        <w:t xml:space="preserve">: </w:t>
      </w:r>
      <w:r w:rsidRPr="004A56B2">
        <w:rPr>
          <w:rFonts w:ascii="Arial" w:hAnsi="Arial" w:cs="Arial"/>
          <w:sz w:val="12"/>
          <w:szCs w:val="12"/>
        </w:rPr>
        <w:t xml:space="preserve">Pappas PG, Kauffman CA, Andes DR, Clancy CJ, Marr KA, Ostrosky-Zeichner L, Reboli AC, Schuster MG, Vazquez JA, Walsh TJ, Zaoutis TE, Sobel JD. Clinical Practice Guideline for the Management of Candidiasis: 2016 Update by the Infectious Diseases Society of America. Clin Infect Dis. 2016 Feb 15;62(4):e1-50. </w:t>
      </w:r>
      <w:hyperlink r:id="rId5" w:history="1">
        <w:r w:rsidRPr="004A56B2">
          <w:rPr>
            <w:rStyle w:val="Hyperlink"/>
            <w:rFonts w:ascii="Arial" w:hAnsi="Arial" w:cs="Arial"/>
            <w:sz w:val="12"/>
            <w:szCs w:val="12"/>
          </w:rPr>
          <w:t>https://www.ncbi.nlm.nih.gov/pubmed/26679628</w:t>
        </w:r>
      </w:hyperlink>
    </w:p>
    <w:p w14:paraId="53277E66" w14:textId="77777777" w:rsidR="00354AF5" w:rsidRPr="00C94625" w:rsidRDefault="00354AF5" w:rsidP="00D024FB">
      <w:pPr>
        <w:pStyle w:val="EndnoteText"/>
        <w:tabs>
          <w:tab w:val="left" w:pos="180"/>
        </w:tabs>
        <w:rPr>
          <w:rFonts w:ascii="Arial" w:hAnsi="Arial" w:cs="Arial"/>
          <w:sz w:val="12"/>
          <w:szCs w:val="12"/>
        </w:rPr>
      </w:pPr>
      <w:r>
        <w:rPr>
          <w:rFonts w:ascii="Arial" w:hAnsi="Arial" w:cs="Arial"/>
          <w:sz w:val="12"/>
          <w:szCs w:val="12"/>
        </w:rPr>
        <w:tab/>
        <w:t>Empiric candidaemia therapy (</w:t>
      </w:r>
      <w:r w:rsidRPr="004A56B2">
        <w:rPr>
          <w:rFonts w:ascii="Arial" w:hAnsi="Arial" w:cs="Arial"/>
          <w:sz w:val="12"/>
          <w:szCs w:val="12"/>
        </w:rPr>
        <w:t>duration of 2 weeks)</w:t>
      </w:r>
      <w:r>
        <w:rPr>
          <w:rFonts w:ascii="Arial" w:hAnsi="Arial" w:cs="Arial"/>
          <w:sz w:val="12"/>
          <w:szCs w:val="12"/>
        </w:rPr>
        <w:t xml:space="preserve">: </w:t>
      </w:r>
      <w:r w:rsidRPr="004A56B2">
        <w:rPr>
          <w:rFonts w:ascii="Arial" w:hAnsi="Arial" w:cs="Arial"/>
          <w:sz w:val="12"/>
          <w:szCs w:val="12"/>
        </w:rPr>
        <w:t xml:space="preserve">Mermel LA, Allon M, Bouza E, Craven DE, Flynn P, O'Grady NP, Raad II, Rijnders BJ, Sherertz RJ, Warren DK. Clinical practice guidelines for the diagnosis and management of intravascular catheter-related infection: 2009 Update by the Infectious Diseases Society of America. Clin Infect Dis. 2009 Jul 1;49(1):1-45. . Erratum in: Clin Infect Dis. 2010 Apr 1;50(7):1079. Dosage error in article text. Clin Infect Dis. 2010 Feb 1;50(3):457. </w:t>
      </w:r>
      <w:hyperlink r:id="rId6" w:history="1">
        <w:r w:rsidRPr="004A56B2">
          <w:rPr>
            <w:rStyle w:val="Hyperlink"/>
            <w:rFonts w:ascii="Arial" w:hAnsi="Arial" w:cs="Arial"/>
            <w:sz w:val="12"/>
            <w:szCs w:val="12"/>
          </w:rPr>
          <w:t>https://www.ncbi.nlm.nih.gov/pubmed/19489710</w:t>
        </w:r>
      </w:hyperlink>
    </w:p>
  </w:endnote>
  <w:endnote w:id="5">
    <w:p w14:paraId="5B35DBD1" w14:textId="77777777" w:rsidR="00354AF5" w:rsidRDefault="00354AF5" w:rsidP="004C261E">
      <w:pPr>
        <w:pStyle w:val="EndnoteText"/>
        <w:tabs>
          <w:tab w:val="left" w:pos="180"/>
        </w:tabs>
        <w:rPr>
          <w:rFonts w:ascii="Arial" w:hAnsi="Arial" w:cs="Arial"/>
          <w:sz w:val="12"/>
          <w:szCs w:val="12"/>
        </w:rPr>
      </w:pPr>
      <w:r w:rsidRPr="0085135C">
        <w:rPr>
          <w:rStyle w:val="EndnoteReference"/>
          <w:rFonts w:ascii="Arial" w:hAnsi="Arial" w:cs="Arial"/>
          <w:sz w:val="12"/>
          <w:szCs w:val="12"/>
        </w:rPr>
        <w:endnoteRef/>
      </w:r>
      <w:r w:rsidRPr="0085135C">
        <w:rPr>
          <w:rFonts w:ascii="Arial" w:hAnsi="Arial" w:cs="Arial"/>
          <w:sz w:val="12"/>
          <w:szCs w:val="12"/>
        </w:rPr>
        <w:tab/>
      </w:r>
      <w:r>
        <w:rPr>
          <w:rFonts w:ascii="Arial" w:hAnsi="Arial" w:cs="Arial"/>
          <w:sz w:val="12"/>
          <w:szCs w:val="12"/>
        </w:rPr>
        <w:t xml:space="preserve">Vancomycin, IV: </w:t>
      </w:r>
      <w:r w:rsidRPr="00507AAD">
        <w:rPr>
          <w:rFonts w:ascii="Arial" w:hAnsi="Arial" w:cs="Arial"/>
          <w:sz w:val="12"/>
          <w:szCs w:val="12"/>
        </w:rPr>
        <w:t xml:space="preserve">Reardon J, Lau TT, Ensom MH. Vancomycin loading doses: a systematic review. Ann Pharmacother. 2015 May;49(5):557-65. </w:t>
      </w:r>
      <w:hyperlink r:id="rId7" w:history="1">
        <w:r w:rsidRPr="00530481">
          <w:rPr>
            <w:rStyle w:val="Hyperlink"/>
            <w:rFonts w:ascii="Arial" w:hAnsi="Arial" w:cs="Arial"/>
            <w:sz w:val="12"/>
            <w:szCs w:val="12"/>
          </w:rPr>
          <w:t>http://www.ncbi.nlm.nih.gov/pubmed/25712445</w:t>
        </w:r>
      </w:hyperlink>
    </w:p>
    <w:p w14:paraId="3C3ED6B7" w14:textId="10D76E53" w:rsidR="00354AF5" w:rsidRDefault="00354AF5" w:rsidP="004C261E">
      <w:pPr>
        <w:pStyle w:val="EndnoteText"/>
        <w:tabs>
          <w:tab w:val="left" w:pos="180"/>
        </w:tabs>
        <w:rPr>
          <w:rStyle w:val="Hyperlink"/>
          <w:rFonts w:ascii="Arial" w:hAnsi="Arial" w:cs="Arial"/>
          <w:sz w:val="12"/>
          <w:szCs w:val="12"/>
        </w:rPr>
      </w:pPr>
      <w:r>
        <w:rPr>
          <w:rFonts w:ascii="Arial" w:hAnsi="Arial" w:cs="Arial"/>
          <w:sz w:val="12"/>
          <w:szCs w:val="12"/>
        </w:rPr>
        <w:tab/>
        <w:t xml:space="preserve">Vancomycin, IV: </w:t>
      </w:r>
      <w:r w:rsidRPr="004C261E">
        <w:rPr>
          <w:rFonts w:ascii="Arial" w:hAnsi="Arial" w:cs="Arial"/>
          <w:sz w:val="12"/>
          <w:szCs w:val="12"/>
        </w:rPr>
        <w:t xml:space="preserve">Rybak M, Lomaestro B, Rotschafer JC, Moellering R Jr, Craig W, Billeter M, Dalovisio JR, Levine DP. Therapeutic monitoring of vancomycin in adult patients:  a consensus review of the American Society of Health-System Pharmacists, the Infectious Diseases Society of America, and the Society of Infectious Diseases Pharmacists. Am J Health Syst Pharm. 2009 Jan 1;66(1):82-98. Erratum in: Am J Health Syst Pharm. 2009 May 15;66(10):887. </w:t>
      </w:r>
      <w:hyperlink r:id="rId8" w:history="1">
        <w:r w:rsidRPr="005D0E90">
          <w:rPr>
            <w:rStyle w:val="Hyperlink"/>
            <w:rFonts w:ascii="Arial" w:hAnsi="Arial" w:cs="Arial"/>
            <w:sz w:val="12"/>
            <w:szCs w:val="12"/>
          </w:rPr>
          <w:t>http://www.ncbi.nlm.nih.gov/pubmed/19106348</w:t>
        </w:r>
      </w:hyperlink>
    </w:p>
    <w:p w14:paraId="64B62B80" w14:textId="16EB3646" w:rsidR="00354AF5" w:rsidRPr="00C94625" w:rsidRDefault="00354AF5" w:rsidP="004C261E">
      <w:pPr>
        <w:pStyle w:val="EndnoteText"/>
        <w:tabs>
          <w:tab w:val="left" w:pos="180"/>
        </w:tabs>
        <w:rPr>
          <w:rFonts w:ascii="Arial" w:hAnsi="Arial" w:cs="Arial"/>
          <w:sz w:val="12"/>
          <w:szCs w:val="12"/>
        </w:rPr>
      </w:pPr>
      <w:r>
        <w:rPr>
          <w:rFonts w:ascii="Arial" w:hAnsi="Arial" w:cs="Arial"/>
          <w:sz w:val="12"/>
          <w:szCs w:val="12"/>
        </w:rPr>
        <w:tab/>
        <w:t xml:space="preserve">Vancomycin, IV: </w:t>
      </w:r>
      <w:r w:rsidRPr="00C854C7">
        <w:rPr>
          <w:rFonts w:ascii="Arial" w:hAnsi="Arial" w:cs="Arial"/>
          <w:sz w:val="12"/>
          <w:szCs w:val="12"/>
        </w:rPr>
        <w:t>South African Medicines Formulary.  1</w:t>
      </w:r>
      <w:r>
        <w:rPr>
          <w:rFonts w:ascii="Arial" w:hAnsi="Arial" w:cs="Arial"/>
          <w:sz w:val="12"/>
          <w:szCs w:val="12"/>
        </w:rPr>
        <w:t>4</w:t>
      </w:r>
      <w:r w:rsidRPr="00C854C7">
        <w:rPr>
          <w:rFonts w:ascii="Arial" w:hAnsi="Arial" w:cs="Arial"/>
          <w:sz w:val="12"/>
          <w:szCs w:val="12"/>
        </w:rPr>
        <w:t>th Edition.  Division of Clinical Pharmacology.  University of Cape Town. 20</w:t>
      </w:r>
      <w:r>
        <w:rPr>
          <w:rFonts w:ascii="Arial" w:hAnsi="Arial" w:cs="Arial"/>
          <w:sz w:val="12"/>
          <w:szCs w:val="12"/>
        </w:rPr>
        <w:t>22</w:t>
      </w:r>
      <w:r w:rsidRPr="00C854C7">
        <w:rPr>
          <w:rFonts w:ascii="Arial" w:hAnsi="Arial" w:cs="Arial"/>
          <w:sz w:val="12"/>
          <w:szCs w:val="12"/>
        </w:rPr>
        <w:t>.</w:t>
      </w:r>
    </w:p>
  </w:endnote>
  <w:endnote w:id="6">
    <w:p w14:paraId="51BFF2A3" w14:textId="77777777" w:rsidR="00354AF5" w:rsidRPr="00C94625" w:rsidRDefault="00354AF5" w:rsidP="004C261E">
      <w:pPr>
        <w:pStyle w:val="EndnoteText"/>
        <w:tabs>
          <w:tab w:val="left" w:pos="180"/>
        </w:tabs>
        <w:rPr>
          <w:rFonts w:ascii="Arial" w:hAnsi="Arial" w:cs="Arial"/>
          <w:sz w:val="12"/>
          <w:szCs w:val="12"/>
        </w:rPr>
      </w:pPr>
      <w:r w:rsidRPr="0085135C">
        <w:rPr>
          <w:rStyle w:val="EndnoteReference"/>
          <w:rFonts w:ascii="Arial" w:hAnsi="Arial" w:cs="Arial"/>
          <w:sz w:val="12"/>
          <w:szCs w:val="12"/>
        </w:rPr>
        <w:endnoteRef/>
      </w:r>
      <w:r w:rsidRPr="0085135C">
        <w:rPr>
          <w:rFonts w:ascii="Arial" w:hAnsi="Arial" w:cs="Arial"/>
          <w:sz w:val="12"/>
          <w:szCs w:val="12"/>
        </w:rPr>
        <w:tab/>
      </w:r>
      <w:r>
        <w:rPr>
          <w:rFonts w:ascii="Arial" w:hAnsi="Arial" w:cs="Arial"/>
          <w:sz w:val="12"/>
          <w:szCs w:val="12"/>
        </w:rPr>
        <w:t xml:space="preserve">Antibiotic therapy (candidaemia): </w:t>
      </w:r>
      <w:r w:rsidRPr="004C261E">
        <w:rPr>
          <w:rFonts w:ascii="Arial" w:hAnsi="Arial" w:cs="Arial"/>
          <w:sz w:val="12"/>
          <w:szCs w:val="12"/>
        </w:rPr>
        <w:t xml:space="preserve">Takesue Y, Ueda T, Mikamo H, Oda S, Takakura S, Kitagawa Y, Kohno S; ACTIONs Project. Management bundles for candidaemia: the impact of compliance on clinical outcomes. J AntimicrobChemother. 2015 Feb;70(2):587-93. </w:t>
      </w:r>
      <w:hyperlink r:id="rId9" w:history="1">
        <w:r w:rsidRPr="005D0E90">
          <w:rPr>
            <w:rStyle w:val="Hyperlink"/>
            <w:rFonts w:ascii="Arial" w:hAnsi="Arial" w:cs="Arial"/>
            <w:sz w:val="12"/>
            <w:szCs w:val="12"/>
          </w:rPr>
          <w:t>http://www.ncbi.nlm.nih.gov/pubmed/25326087</w:t>
        </w:r>
      </w:hyperlink>
    </w:p>
  </w:endnote>
  <w:endnote w:id="7">
    <w:p w14:paraId="4BCC2DFB" w14:textId="77777777" w:rsidR="00354AF5" w:rsidRDefault="00354AF5" w:rsidP="004F4BD4">
      <w:pPr>
        <w:pStyle w:val="EndnoteText"/>
        <w:tabs>
          <w:tab w:val="left" w:pos="180"/>
        </w:tabs>
        <w:rPr>
          <w:rFonts w:ascii="Arial" w:hAnsi="Arial" w:cs="Arial"/>
          <w:sz w:val="12"/>
          <w:szCs w:val="12"/>
        </w:rPr>
      </w:pPr>
      <w:r w:rsidRPr="0085135C">
        <w:rPr>
          <w:rStyle w:val="EndnoteReference"/>
          <w:rFonts w:ascii="Arial" w:hAnsi="Arial" w:cs="Arial"/>
          <w:sz w:val="12"/>
          <w:szCs w:val="12"/>
        </w:rPr>
        <w:endnoteRef/>
      </w:r>
      <w:r w:rsidRPr="0085135C">
        <w:rPr>
          <w:rFonts w:ascii="Arial" w:hAnsi="Arial" w:cs="Arial"/>
          <w:sz w:val="12"/>
          <w:szCs w:val="12"/>
        </w:rPr>
        <w:tab/>
      </w:r>
      <w:r>
        <w:rPr>
          <w:rFonts w:ascii="Arial" w:hAnsi="Arial" w:cs="Arial"/>
          <w:sz w:val="12"/>
          <w:szCs w:val="12"/>
        </w:rPr>
        <w:t xml:space="preserve">Amphotericin B, IV: </w:t>
      </w:r>
      <w:r w:rsidRPr="004F4BD4">
        <w:rPr>
          <w:rFonts w:ascii="Arial" w:hAnsi="Arial" w:cs="Arial"/>
          <w:sz w:val="12"/>
          <w:szCs w:val="12"/>
        </w:rPr>
        <w:t xml:space="preserve">Rex JH, Bennett JE, Sugar AM, Pappas PG, van der Horst CM, Edwards JE, Washburn RG, Scheld WM, Karchmer AW, Dine AP, et al. A randomized trial comparing fluconazole with amphotericin B for the treatment of candidemia in patients without neutropenia.Candidemia Study Group and the National Institute. N EnglJ  Med. 1994 Nov 17;331(20):1325-30. </w:t>
      </w:r>
      <w:hyperlink r:id="rId10" w:history="1">
        <w:r w:rsidRPr="005D0E90">
          <w:rPr>
            <w:rStyle w:val="Hyperlink"/>
            <w:rFonts w:ascii="Arial" w:hAnsi="Arial" w:cs="Arial"/>
            <w:sz w:val="12"/>
            <w:szCs w:val="12"/>
          </w:rPr>
          <w:t>http://www.ncbi.nlm.nih.gov/pubmed/7935701</w:t>
        </w:r>
      </w:hyperlink>
    </w:p>
    <w:p w14:paraId="730CDD0F" w14:textId="77777777" w:rsidR="00354AF5" w:rsidRDefault="00354AF5" w:rsidP="004F4BD4">
      <w:pPr>
        <w:pStyle w:val="EndnoteText"/>
        <w:tabs>
          <w:tab w:val="left" w:pos="180"/>
        </w:tabs>
        <w:rPr>
          <w:rFonts w:ascii="Arial" w:hAnsi="Arial" w:cs="Arial"/>
          <w:sz w:val="12"/>
          <w:szCs w:val="12"/>
        </w:rPr>
      </w:pPr>
      <w:r>
        <w:rPr>
          <w:rFonts w:ascii="Arial" w:hAnsi="Arial" w:cs="Arial"/>
          <w:sz w:val="12"/>
          <w:szCs w:val="12"/>
        </w:rPr>
        <w:tab/>
        <w:t xml:space="preserve">Amphotericin B, IV: </w:t>
      </w:r>
      <w:r w:rsidRPr="004F4BD4">
        <w:rPr>
          <w:rFonts w:ascii="Arial" w:hAnsi="Arial" w:cs="Arial"/>
          <w:sz w:val="12"/>
          <w:szCs w:val="12"/>
        </w:rPr>
        <w:t xml:space="preserve">Phillips P, Shafran S, Garber G, Rotstein C, Smaill F, Fong I, Salit I, Miller M, Williams K, Conly JM, Singer J, Ioannou S. Multicenter randomized trial of fluconazole versus amphotericin B for treatment of candidemia in non-neutropenic  patients. Canadian Candidemia Study Group. Eur J ClinMicrobiol Infect Dis. 1997  May;16(5):337-45. </w:t>
      </w:r>
      <w:hyperlink r:id="rId11" w:history="1">
        <w:r w:rsidRPr="005D0E90">
          <w:rPr>
            <w:rStyle w:val="Hyperlink"/>
            <w:rFonts w:ascii="Arial" w:hAnsi="Arial" w:cs="Arial"/>
            <w:sz w:val="12"/>
            <w:szCs w:val="12"/>
          </w:rPr>
          <w:t>http://www.ncbi.nlm.nih.gov/pubmed/9228472</w:t>
        </w:r>
      </w:hyperlink>
    </w:p>
    <w:p w14:paraId="4F897159" w14:textId="77777777" w:rsidR="00354AF5" w:rsidRDefault="00354AF5" w:rsidP="004F4BD4">
      <w:pPr>
        <w:pStyle w:val="EndnoteText"/>
        <w:tabs>
          <w:tab w:val="left" w:pos="180"/>
        </w:tabs>
        <w:rPr>
          <w:rFonts w:ascii="Arial" w:hAnsi="Arial" w:cs="Arial"/>
          <w:sz w:val="12"/>
          <w:szCs w:val="12"/>
        </w:rPr>
      </w:pPr>
      <w:r>
        <w:rPr>
          <w:rFonts w:ascii="Arial" w:hAnsi="Arial" w:cs="Arial"/>
          <w:sz w:val="12"/>
          <w:szCs w:val="12"/>
        </w:rPr>
        <w:tab/>
        <w:t xml:space="preserve">Amphotericin B, IV: </w:t>
      </w:r>
      <w:r w:rsidRPr="004F4BD4">
        <w:rPr>
          <w:rFonts w:ascii="Arial" w:hAnsi="Arial" w:cs="Arial"/>
          <w:sz w:val="12"/>
          <w:szCs w:val="12"/>
        </w:rPr>
        <w:t xml:space="preserve">Anaissie EJ, Darouiche RO, Abi-Said D, Uzun O, Mera J, Gentry LO, Williams T,  Kontoyiannis DP, Karl CL, Bodey GP. Management of invasive candidal infections: results of a prospective, randomized, multicenter study of fluconazole versus amphotericin B and review of the literature. Clin Infect Dis. 1996 Nov;23(5):964-72. </w:t>
      </w:r>
      <w:hyperlink r:id="rId12" w:history="1">
        <w:r w:rsidRPr="005D0E90">
          <w:rPr>
            <w:rStyle w:val="Hyperlink"/>
            <w:rFonts w:ascii="Arial" w:hAnsi="Arial" w:cs="Arial"/>
            <w:sz w:val="12"/>
            <w:szCs w:val="12"/>
          </w:rPr>
          <w:t>http://www.ncbi.nlm.nih.gov/pubmed/8922787</w:t>
        </w:r>
      </w:hyperlink>
    </w:p>
    <w:p w14:paraId="66CE488F" w14:textId="77777777" w:rsidR="00354AF5" w:rsidRDefault="00354AF5" w:rsidP="004F4BD4">
      <w:pPr>
        <w:pStyle w:val="EndnoteText"/>
        <w:tabs>
          <w:tab w:val="left" w:pos="180"/>
        </w:tabs>
        <w:rPr>
          <w:rFonts w:ascii="Arial" w:hAnsi="Arial" w:cs="Arial"/>
          <w:sz w:val="12"/>
          <w:szCs w:val="12"/>
        </w:rPr>
      </w:pPr>
      <w:r>
        <w:rPr>
          <w:rFonts w:ascii="Arial" w:hAnsi="Arial" w:cs="Arial"/>
          <w:sz w:val="12"/>
          <w:szCs w:val="12"/>
        </w:rPr>
        <w:tab/>
        <w:t xml:space="preserve">Amphotericin B, IV: </w:t>
      </w:r>
      <w:r w:rsidRPr="004F4BD4">
        <w:rPr>
          <w:rFonts w:ascii="Arial" w:hAnsi="Arial" w:cs="Arial"/>
          <w:sz w:val="12"/>
          <w:szCs w:val="12"/>
        </w:rPr>
        <w:t xml:space="preserve">Takesue Y, Ueda T, Mikamo H, Oda S, Takakura S, Kitagawa Y, Kohno S; ACTIONs Project. Management bundles for candidaemia: the impact of compliance on clinical outcomes. J AntimicrobChemother. 2015 Feb;70(2):587-93. </w:t>
      </w:r>
      <w:hyperlink r:id="rId13" w:history="1">
        <w:r w:rsidRPr="005D0E90">
          <w:rPr>
            <w:rStyle w:val="Hyperlink"/>
            <w:rFonts w:ascii="Arial" w:hAnsi="Arial" w:cs="Arial"/>
            <w:sz w:val="12"/>
            <w:szCs w:val="12"/>
          </w:rPr>
          <w:t>http://www.ncbi.nlm.nih.gov/pubmed/25326087</w:t>
        </w:r>
      </w:hyperlink>
    </w:p>
    <w:p w14:paraId="12C27F00" w14:textId="77777777" w:rsidR="00354AF5" w:rsidRDefault="00354AF5" w:rsidP="004F4BD4">
      <w:pPr>
        <w:pStyle w:val="EndnoteText"/>
        <w:tabs>
          <w:tab w:val="left" w:pos="180"/>
        </w:tabs>
        <w:rPr>
          <w:rFonts w:ascii="Arial" w:hAnsi="Arial" w:cs="Arial"/>
          <w:sz w:val="12"/>
          <w:szCs w:val="12"/>
        </w:rPr>
      </w:pPr>
      <w:r>
        <w:rPr>
          <w:rFonts w:ascii="Arial" w:hAnsi="Arial" w:cs="Arial"/>
          <w:sz w:val="12"/>
          <w:szCs w:val="12"/>
        </w:rPr>
        <w:tab/>
        <w:t xml:space="preserve">Amphotericin B, IV: </w:t>
      </w:r>
      <w:r w:rsidRPr="004F4BD4">
        <w:rPr>
          <w:rFonts w:ascii="Arial" w:hAnsi="Arial" w:cs="Arial"/>
          <w:sz w:val="12"/>
          <w:szCs w:val="12"/>
        </w:rPr>
        <w:t>WHO. Diagnosis, Prevention and Management of Cryptococcal disease in HIV- infected Adults, Adolescents and children – 2011. Geneva: World Health Organization; 2011.</w:t>
      </w:r>
      <w:hyperlink r:id="rId14" w:history="1">
        <w:r w:rsidRPr="00126047">
          <w:rPr>
            <w:rStyle w:val="Hyperlink"/>
            <w:rFonts w:ascii="Arial" w:hAnsi="Arial" w:cs="Arial"/>
            <w:sz w:val="12"/>
            <w:szCs w:val="12"/>
          </w:rPr>
          <w:t>http://www.who.int/en/</w:t>
        </w:r>
      </w:hyperlink>
    </w:p>
    <w:p w14:paraId="4A8EEFCD" w14:textId="77777777" w:rsidR="00354AF5" w:rsidRDefault="00354AF5" w:rsidP="004F4BD4">
      <w:pPr>
        <w:pStyle w:val="EndnoteText"/>
        <w:tabs>
          <w:tab w:val="left" w:pos="180"/>
        </w:tabs>
        <w:rPr>
          <w:rFonts w:ascii="Arial" w:hAnsi="Arial" w:cs="Arial"/>
          <w:sz w:val="12"/>
          <w:szCs w:val="12"/>
        </w:rPr>
      </w:pPr>
      <w:r>
        <w:rPr>
          <w:rFonts w:ascii="Arial" w:hAnsi="Arial" w:cs="Arial"/>
          <w:sz w:val="12"/>
          <w:szCs w:val="12"/>
        </w:rPr>
        <w:tab/>
        <w:t xml:space="preserve">Amphotericin B, IV: </w:t>
      </w:r>
      <w:r w:rsidRPr="004F4BD4">
        <w:rPr>
          <w:rFonts w:ascii="Arial" w:hAnsi="Arial" w:cs="Arial"/>
          <w:sz w:val="12"/>
          <w:szCs w:val="12"/>
        </w:rPr>
        <w:t xml:space="preserve">Atsmon J, Dolev E. Drug-induced hypomagnesaemia : scope and management. Drug Saf. 2005;28(9):763-88. </w:t>
      </w:r>
      <w:hyperlink r:id="rId15" w:history="1">
        <w:r w:rsidRPr="005D0E90">
          <w:rPr>
            <w:rStyle w:val="Hyperlink"/>
            <w:rFonts w:ascii="Arial" w:hAnsi="Arial" w:cs="Arial"/>
            <w:sz w:val="12"/>
            <w:szCs w:val="12"/>
          </w:rPr>
          <w:t>http://www.ncbi.nlm.nih.gov/pubmed/16119971</w:t>
        </w:r>
      </w:hyperlink>
    </w:p>
    <w:p w14:paraId="68926C47" w14:textId="77777777" w:rsidR="00354AF5" w:rsidRPr="00C94625" w:rsidRDefault="00354AF5" w:rsidP="004F4BD4">
      <w:pPr>
        <w:pStyle w:val="EndnoteText"/>
        <w:tabs>
          <w:tab w:val="left" w:pos="180"/>
        </w:tabs>
        <w:rPr>
          <w:rFonts w:ascii="Arial" w:hAnsi="Arial" w:cs="Arial"/>
          <w:sz w:val="12"/>
          <w:szCs w:val="12"/>
        </w:rPr>
      </w:pPr>
      <w:r>
        <w:rPr>
          <w:rFonts w:ascii="Arial" w:hAnsi="Arial" w:cs="Arial"/>
          <w:sz w:val="12"/>
          <w:szCs w:val="12"/>
        </w:rPr>
        <w:tab/>
        <w:t xml:space="preserve">Amphotericin B, IV: </w:t>
      </w:r>
      <w:r w:rsidRPr="004F4BD4">
        <w:rPr>
          <w:rFonts w:ascii="Arial" w:hAnsi="Arial" w:cs="Arial"/>
          <w:sz w:val="12"/>
          <w:szCs w:val="12"/>
        </w:rPr>
        <w:t xml:space="preserve">WHO. Rapid advice: diagnosis, prevention and management of cryptococcal disease in HIV-infected adults, adolescents and children. 2011 [Online][Accessed June 2015] </w:t>
      </w:r>
      <w:hyperlink r:id="rId16" w:history="1">
        <w:r w:rsidRPr="00E52473">
          <w:rPr>
            <w:rStyle w:val="Hyperlink"/>
            <w:rFonts w:ascii="Arial" w:hAnsi="Arial" w:cs="Arial"/>
            <w:bCs/>
            <w:sz w:val="12"/>
            <w:szCs w:val="12"/>
          </w:rPr>
          <w:t>http://www.ncbi.nlm.nih.gov/books/NBK299520/pdf/Bookshelf_NBK299520.pdf</w:t>
        </w:r>
      </w:hyperlink>
    </w:p>
  </w:endnote>
  <w:endnote w:id="8">
    <w:p w14:paraId="0BB63E93" w14:textId="77777777" w:rsidR="00354AF5" w:rsidRPr="006E2C67" w:rsidRDefault="00354AF5" w:rsidP="00313688">
      <w:pPr>
        <w:pStyle w:val="EndnoteText"/>
        <w:tabs>
          <w:tab w:val="left" w:pos="180"/>
        </w:tabs>
        <w:rPr>
          <w:rFonts w:ascii="Arial" w:hAnsi="Arial" w:cs="Arial"/>
          <w:sz w:val="12"/>
          <w:szCs w:val="12"/>
        </w:rPr>
      </w:pPr>
      <w:r w:rsidRPr="0085135C">
        <w:rPr>
          <w:rStyle w:val="EndnoteReference"/>
          <w:rFonts w:ascii="Arial" w:hAnsi="Arial" w:cs="Arial"/>
          <w:sz w:val="12"/>
          <w:szCs w:val="12"/>
        </w:rPr>
        <w:endnoteRef/>
      </w:r>
      <w:r w:rsidRPr="0085135C">
        <w:rPr>
          <w:rFonts w:ascii="Arial" w:hAnsi="Arial" w:cs="Arial"/>
          <w:sz w:val="12"/>
          <w:szCs w:val="12"/>
        </w:rPr>
        <w:tab/>
      </w:r>
      <w:r>
        <w:rPr>
          <w:rFonts w:ascii="Arial" w:hAnsi="Arial" w:cs="Arial"/>
          <w:sz w:val="12"/>
          <w:szCs w:val="12"/>
        </w:rPr>
        <w:t xml:space="preserve">Fluconazole, oral: </w:t>
      </w:r>
      <w:r w:rsidRPr="005E1933">
        <w:rPr>
          <w:rFonts w:ascii="Arial" w:hAnsi="Arial" w:cs="Arial"/>
          <w:sz w:val="12"/>
          <w:szCs w:val="12"/>
        </w:rPr>
        <w:t>Rex JH, Pappas PG, Karchmer AW. A randomized and blinded multicenter trial of high-dose fluconazole plus placebo versus fluconazole plus amphotericin B as therapy for candidemia and its consequences in nonneutropenic subjects. The National Institute of Allergy and Infectious Diseases Mycoses Study Group.Clin Infect Dis 2001; 36: 1221–8.</w:t>
      </w:r>
      <w:hyperlink r:id="rId17" w:history="1">
        <w:r w:rsidRPr="00126047">
          <w:rPr>
            <w:rStyle w:val="Hyperlink"/>
            <w:rFonts w:ascii="Arial" w:hAnsi="Arial" w:cs="Arial"/>
            <w:sz w:val="12"/>
            <w:szCs w:val="12"/>
          </w:rPr>
          <w:t>http://www.ncbi.nlm.nih.gov/pubmed/12746765</w:t>
        </w:r>
      </w:hyperlink>
    </w:p>
    <w:p w14:paraId="698B5794" w14:textId="77777777" w:rsidR="00354AF5" w:rsidRDefault="00354AF5" w:rsidP="00313688">
      <w:pPr>
        <w:pStyle w:val="EndnoteText"/>
        <w:tabs>
          <w:tab w:val="left" w:pos="180"/>
        </w:tabs>
        <w:rPr>
          <w:rFonts w:ascii="Arial" w:hAnsi="Arial" w:cs="Arial"/>
          <w:sz w:val="12"/>
          <w:szCs w:val="12"/>
        </w:rPr>
      </w:pPr>
      <w:r>
        <w:rPr>
          <w:rFonts w:ascii="Arial" w:hAnsi="Arial" w:cs="Arial"/>
          <w:sz w:val="12"/>
          <w:szCs w:val="12"/>
        </w:rPr>
        <w:tab/>
        <w:t xml:space="preserve">Fluconazole, oral: </w:t>
      </w:r>
      <w:r w:rsidRPr="006E2C67">
        <w:rPr>
          <w:rFonts w:ascii="Arial" w:hAnsi="Arial" w:cs="Arial"/>
          <w:sz w:val="12"/>
          <w:szCs w:val="12"/>
        </w:rPr>
        <w:t xml:space="preserve">Edwards JE Jr, Bodey GP, Bowden RA, Büchner T, </w:t>
      </w:r>
      <w:r>
        <w:rPr>
          <w:rFonts w:ascii="Arial" w:hAnsi="Arial" w:cs="Arial"/>
          <w:sz w:val="12"/>
          <w:szCs w:val="12"/>
        </w:rPr>
        <w:t>de Pauw BE, Filler SG, Ghannoum</w:t>
      </w:r>
      <w:r w:rsidRPr="006E2C67">
        <w:rPr>
          <w:rFonts w:ascii="Arial" w:hAnsi="Arial" w:cs="Arial"/>
          <w:sz w:val="12"/>
          <w:szCs w:val="12"/>
        </w:rPr>
        <w:t>MA, Glauser M, Herbrecht R, Kauffman CA, Kohno S</w:t>
      </w:r>
      <w:r>
        <w:rPr>
          <w:rFonts w:ascii="Arial" w:hAnsi="Arial" w:cs="Arial"/>
          <w:sz w:val="12"/>
          <w:szCs w:val="12"/>
        </w:rPr>
        <w:t xml:space="preserve">, Martino P, Meunier F, Mori T, </w:t>
      </w:r>
      <w:r w:rsidRPr="006E2C67">
        <w:rPr>
          <w:rFonts w:ascii="Arial" w:hAnsi="Arial" w:cs="Arial"/>
          <w:sz w:val="12"/>
          <w:szCs w:val="12"/>
        </w:rPr>
        <w:t>Pfaller MA, Rex JH, Rogers TR, Rubin RH, Solomkin J, Viscoli C, Walsh TJ, Wh</w:t>
      </w:r>
      <w:r>
        <w:rPr>
          <w:rFonts w:ascii="Arial" w:hAnsi="Arial" w:cs="Arial"/>
          <w:sz w:val="12"/>
          <w:szCs w:val="12"/>
        </w:rPr>
        <w:t xml:space="preserve">ite </w:t>
      </w:r>
      <w:r w:rsidRPr="006E2C67">
        <w:rPr>
          <w:rFonts w:ascii="Arial" w:hAnsi="Arial" w:cs="Arial"/>
          <w:sz w:val="12"/>
          <w:szCs w:val="12"/>
        </w:rPr>
        <w:t>M. International Conference for the Development of</w:t>
      </w:r>
      <w:r>
        <w:rPr>
          <w:rFonts w:ascii="Arial" w:hAnsi="Arial" w:cs="Arial"/>
          <w:sz w:val="12"/>
          <w:szCs w:val="12"/>
        </w:rPr>
        <w:t xml:space="preserve"> a Consensus on the Management  </w:t>
      </w:r>
      <w:r w:rsidRPr="006E2C67">
        <w:rPr>
          <w:rFonts w:ascii="Arial" w:hAnsi="Arial" w:cs="Arial"/>
          <w:sz w:val="12"/>
          <w:szCs w:val="12"/>
        </w:rPr>
        <w:t>and Prevention of Severe Candidal In</w:t>
      </w:r>
      <w:r>
        <w:rPr>
          <w:rFonts w:ascii="Arial" w:hAnsi="Arial" w:cs="Arial"/>
          <w:sz w:val="12"/>
          <w:szCs w:val="12"/>
        </w:rPr>
        <w:t xml:space="preserve">fections. Clin Infect Dis. 1997 </w:t>
      </w:r>
      <w:r w:rsidRPr="006E2C67">
        <w:rPr>
          <w:rFonts w:ascii="Arial" w:hAnsi="Arial" w:cs="Arial"/>
          <w:sz w:val="12"/>
          <w:szCs w:val="12"/>
        </w:rPr>
        <w:t>Jul;25(1):43-59. Review.</w:t>
      </w:r>
      <w:hyperlink r:id="rId18" w:history="1">
        <w:r w:rsidRPr="00126047">
          <w:rPr>
            <w:rStyle w:val="Hyperlink"/>
            <w:rFonts w:ascii="Arial" w:hAnsi="Arial" w:cs="Arial"/>
            <w:sz w:val="12"/>
            <w:szCs w:val="12"/>
          </w:rPr>
          <w:t>http://www.ncbi.nlm.nih.gov/pubmed/9243032</w:t>
        </w:r>
      </w:hyperlink>
      <w:r>
        <w:rPr>
          <w:rFonts w:ascii="Arial" w:hAnsi="Arial" w:cs="Arial"/>
          <w:sz w:val="12"/>
          <w:szCs w:val="12"/>
        </w:rPr>
        <w:tab/>
      </w:r>
    </w:p>
    <w:p w14:paraId="21ABC23A" w14:textId="77777777" w:rsidR="00354AF5" w:rsidRPr="00C94625" w:rsidRDefault="00354AF5" w:rsidP="00313688">
      <w:pPr>
        <w:pStyle w:val="EndnoteText"/>
        <w:tabs>
          <w:tab w:val="left" w:pos="180"/>
        </w:tabs>
        <w:rPr>
          <w:rFonts w:ascii="Arial" w:hAnsi="Arial" w:cs="Arial"/>
          <w:sz w:val="12"/>
          <w:szCs w:val="12"/>
        </w:rPr>
      </w:pPr>
      <w:r>
        <w:rPr>
          <w:rFonts w:ascii="Arial" w:hAnsi="Arial" w:cs="Arial"/>
          <w:sz w:val="12"/>
          <w:szCs w:val="12"/>
        </w:rPr>
        <w:tab/>
        <w:t xml:space="preserve">Fluconazole, oral: </w:t>
      </w:r>
      <w:r w:rsidRPr="005E1933">
        <w:rPr>
          <w:rFonts w:ascii="Arial" w:hAnsi="Arial" w:cs="Arial"/>
          <w:sz w:val="12"/>
          <w:szCs w:val="12"/>
        </w:rPr>
        <w:t>Andes D, van Ogtrop H. Characterization and quantitation of the pharmacodynamics of fluconazole in a neutropenic murine disseminated candidiasis infection model. Antimicrob Agents Chemother 1999; 43:2116–20.</w:t>
      </w:r>
      <w:hyperlink r:id="rId19" w:history="1">
        <w:r w:rsidRPr="00126047">
          <w:rPr>
            <w:rStyle w:val="Hyperlink"/>
            <w:rFonts w:ascii="Arial" w:hAnsi="Arial" w:cs="Arial"/>
            <w:sz w:val="12"/>
            <w:szCs w:val="12"/>
          </w:rPr>
          <w:t>http://www.ncbi.nlm.nih.gov/pubmed/10471550</w:t>
        </w:r>
      </w:hyperlink>
    </w:p>
  </w:endnote>
  <w:endnote w:id="9">
    <w:p w14:paraId="728B3655" w14:textId="6C9F2091" w:rsidR="00354AF5" w:rsidRPr="006E2C67" w:rsidRDefault="00354AF5" w:rsidP="007367A2">
      <w:pPr>
        <w:pStyle w:val="EndnoteText"/>
        <w:tabs>
          <w:tab w:val="left" w:pos="180"/>
        </w:tabs>
        <w:rPr>
          <w:rFonts w:ascii="Arial" w:hAnsi="Arial" w:cs="Arial"/>
          <w:sz w:val="12"/>
          <w:szCs w:val="12"/>
        </w:rPr>
      </w:pPr>
      <w:r w:rsidRPr="0085135C">
        <w:rPr>
          <w:rStyle w:val="EndnoteReference"/>
          <w:rFonts w:ascii="Arial" w:hAnsi="Arial" w:cs="Arial"/>
          <w:sz w:val="12"/>
          <w:szCs w:val="12"/>
        </w:rPr>
        <w:endnoteRef/>
      </w:r>
      <w:r w:rsidRPr="0085135C">
        <w:rPr>
          <w:rFonts w:ascii="Arial" w:hAnsi="Arial" w:cs="Arial"/>
          <w:sz w:val="12"/>
          <w:szCs w:val="12"/>
        </w:rPr>
        <w:tab/>
      </w:r>
      <w:r>
        <w:rPr>
          <w:rFonts w:ascii="Arial" w:hAnsi="Arial" w:cs="Arial"/>
          <w:sz w:val="12"/>
          <w:szCs w:val="12"/>
        </w:rPr>
        <w:t xml:space="preserve">Echinocandins (specialist motivation): </w:t>
      </w:r>
      <w:r w:rsidRPr="007367A2">
        <w:rPr>
          <w:rFonts w:ascii="Arial" w:hAnsi="Arial" w:cs="Arial"/>
          <w:sz w:val="12"/>
          <w:szCs w:val="12"/>
        </w:rPr>
        <w:t>National Institute for Communicable Diseases</w:t>
      </w:r>
      <w:r>
        <w:rPr>
          <w:rFonts w:ascii="Arial" w:hAnsi="Arial" w:cs="Arial"/>
          <w:sz w:val="12"/>
          <w:szCs w:val="12"/>
        </w:rPr>
        <w:t xml:space="preserve">. </w:t>
      </w:r>
      <w:r w:rsidRPr="007367A2">
        <w:rPr>
          <w:rFonts w:ascii="Arial" w:hAnsi="Arial" w:cs="Arial"/>
          <w:sz w:val="12"/>
          <w:szCs w:val="12"/>
        </w:rPr>
        <w:t>The GERMS-SA Annual Report 2016</w:t>
      </w:r>
      <w:r>
        <w:rPr>
          <w:rFonts w:ascii="Arial" w:hAnsi="Arial" w:cs="Arial"/>
          <w:sz w:val="12"/>
          <w:szCs w:val="12"/>
        </w:rPr>
        <w:t xml:space="preserve">. </w:t>
      </w:r>
      <w:hyperlink r:id="rId20" w:history="1">
        <w:r w:rsidRPr="008E6CF1">
          <w:rPr>
            <w:rStyle w:val="Hyperlink"/>
            <w:rFonts w:ascii="Arial" w:hAnsi="Arial" w:cs="Arial"/>
            <w:sz w:val="12"/>
            <w:szCs w:val="12"/>
          </w:rPr>
          <w:t>https://www.nicd.ac.za/wp-content/uploads/2017/03/GERMS-SA-AR-2016-FINAL.pdf</w:t>
        </w:r>
      </w:hyperlink>
      <w:r>
        <w:rPr>
          <w:rFonts w:ascii="Arial" w:hAnsi="Arial" w:cs="Arial"/>
          <w:sz w:val="12"/>
          <w:szCs w:val="12"/>
        </w:rPr>
        <w:t xml:space="preserve"> </w:t>
      </w:r>
    </w:p>
    <w:p w14:paraId="45D3E41A" w14:textId="4C49525F" w:rsidR="00354AF5" w:rsidRPr="00C94625" w:rsidRDefault="00354AF5" w:rsidP="007367A2">
      <w:pPr>
        <w:pStyle w:val="EndnoteText"/>
        <w:tabs>
          <w:tab w:val="left" w:pos="180"/>
        </w:tabs>
        <w:rPr>
          <w:rFonts w:ascii="Arial" w:hAnsi="Arial" w:cs="Arial"/>
          <w:sz w:val="12"/>
          <w:szCs w:val="12"/>
        </w:rPr>
      </w:pPr>
      <w:r>
        <w:rPr>
          <w:rFonts w:ascii="Arial" w:hAnsi="Arial" w:cs="Arial"/>
          <w:sz w:val="12"/>
          <w:szCs w:val="12"/>
        </w:rPr>
        <w:tab/>
        <w:t xml:space="preserve">Echinocandins (specialist motivation): </w:t>
      </w:r>
      <w:r w:rsidRPr="007367A2">
        <w:rPr>
          <w:rFonts w:ascii="Arial" w:hAnsi="Arial" w:cs="Arial"/>
          <w:sz w:val="12"/>
          <w:szCs w:val="12"/>
        </w:rPr>
        <w:t xml:space="preserve">National Department of Health: Essential Drugs Programme. </w:t>
      </w:r>
      <w:r>
        <w:rPr>
          <w:rFonts w:ascii="Arial" w:hAnsi="Arial" w:cs="Arial"/>
          <w:sz w:val="12"/>
          <w:szCs w:val="12"/>
        </w:rPr>
        <w:t>Tertiary and Quaternary</w:t>
      </w:r>
      <w:r w:rsidRPr="007367A2">
        <w:rPr>
          <w:rFonts w:ascii="Arial" w:hAnsi="Arial" w:cs="Arial"/>
          <w:sz w:val="12"/>
          <w:szCs w:val="12"/>
        </w:rPr>
        <w:t xml:space="preserve"> EML</w:t>
      </w:r>
      <w:r>
        <w:rPr>
          <w:rFonts w:ascii="Arial" w:hAnsi="Arial" w:cs="Arial"/>
          <w:sz w:val="12"/>
          <w:szCs w:val="12"/>
        </w:rPr>
        <w:t xml:space="preserve">, June 2022. </w:t>
      </w:r>
      <w:hyperlink r:id="rId21" w:history="1">
        <w:r w:rsidRPr="008E6CF1">
          <w:rPr>
            <w:rStyle w:val="Hyperlink"/>
            <w:rFonts w:ascii="Arial" w:hAnsi="Arial" w:cs="Arial"/>
            <w:sz w:val="12"/>
            <w:szCs w:val="12"/>
          </w:rPr>
          <w:t>https://www.knowledgehub.org.za/elibrary/hospital-level-tertiary-and-quaternary-essential-medicines-list</w:t>
        </w:r>
      </w:hyperlink>
      <w:r>
        <w:rPr>
          <w:rFonts w:ascii="Arial" w:hAnsi="Arial" w:cs="Arial"/>
          <w:sz w:val="12"/>
          <w:szCs w:val="12"/>
        </w:rPr>
        <w:t xml:space="preserve"> </w:t>
      </w:r>
    </w:p>
  </w:endnote>
  <w:endnote w:id="10">
    <w:p w14:paraId="28D0CE5E" w14:textId="77777777" w:rsidR="00354AF5" w:rsidRPr="00C94625" w:rsidRDefault="00354AF5" w:rsidP="00624320">
      <w:pPr>
        <w:pStyle w:val="EndnoteText"/>
        <w:tabs>
          <w:tab w:val="left" w:pos="180"/>
        </w:tabs>
        <w:rPr>
          <w:rFonts w:ascii="Arial" w:hAnsi="Arial" w:cs="Arial"/>
          <w:sz w:val="12"/>
          <w:szCs w:val="12"/>
        </w:rPr>
      </w:pPr>
      <w:r w:rsidRPr="0085135C">
        <w:rPr>
          <w:rStyle w:val="EndnoteReference"/>
          <w:rFonts w:ascii="Arial" w:hAnsi="Arial" w:cs="Arial"/>
          <w:sz w:val="12"/>
          <w:szCs w:val="12"/>
        </w:rPr>
        <w:endnoteRef/>
      </w:r>
      <w:r w:rsidRPr="0085135C">
        <w:rPr>
          <w:rFonts w:ascii="Arial" w:hAnsi="Arial" w:cs="Arial"/>
          <w:sz w:val="12"/>
          <w:szCs w:val="12"/>
        </w:rPr>
        <w:tab/>
      </w:r>
      <w:r>
        <w:rPr>
          <w:rFonts w:ascii="Arial" w:hAnsi="Arial" w:cs="Arial"/>
          <w:sz w:val="12"/>
          <w:szCs w:val="12"/>
        </w:rPr>
        <w:t xml:space="preserve">Cefazolin, IV: </w:t>
      </w:r>
      <w:r w:rsidRPr="00624320">
        <w:rPr>
          <w:rFonts w:ascii="Arial" w:hAnsi="Arial" w:cs="Arial"/>
          <w:sz w:val="12"/>
          <w:szCs w:val="12"/>
        </w:rPr>
        <w:t>McDanel JS, Perencevich EN, Diekema DJ, Herw</w:t>
      </w:r>
      <w:r>
        <w:rPr>
          <w:rFonts w:ascii="Arial" w:hAnsi="Arial" w:cs="Arial"/>
          <w:sz w:val="12"/>
          <w:szCs w:val="12"/>
        </w:rPr>
        <w:t>aldt LA, Smith TC, Chrischilles</w:t>
      </w:r>
      <w:r w:rsidRPr="00624320">
        <w:rPr>
          <w:rFonts w:ascii="Arial" w:hAnsi="Arial" w:cs="Arial"/>
          <w:sz w:val="12"/>
          <w:szCs w:val="12"/>
        </w:rPr>
        <w:t>EA, Dawson JD, Jiang L, Goto M, Schweizer M</w:t>
      </w:r>
      <w:r>
        <w:rPr>
          <w:rFonts w:ascii="Arial" w:hAnsi="Arial" w:cs="Arial"/>
          <w:sz w:val="12"/>
          <w:szCs w:val="12"/>
        </w:rPr>
        <w:t xml:space="preserve">L. Comparative effectiveness of </w:t>
      </w:r>
      <w:r w:rsidRPr="00624320">
        <w:rPr>
          <w:rFonts w:ascii="Arial" w:hAnsi="Arial" w:cs="Arial"/>
          <w:sz w:val="12"/>
          <w:szCs w:val="12"/>
        </w:rPr>
        <w:t>beta-lactams versus vancomycin for treat</w:t>
      </w:r>
      <w:r>
        <w:rPr>
          <w:rFonts w:ascii="Arial" w:hAnsi="Arial" w:cs="Arial"/>
          <w:sz w:val="12"/>
          <w:szCs w:val="12"/>
        </w:rPr>
        <w:t xml:space="preserve">ment of methicillin-susceptible </w:t>
      </w:r>
      <w:r w:rsidRPr="00624320">
        <w:rPr>
          <w:rFonts w:ascii="Arial" w:hAnsi="Arial" w:cs="Arial"/>
          <w:sz w:val="12"/>
          <w:szCs w:val="12"/>
        </w:rPr>
        <w:t>Staphylococcus aureus bloodstream infections a</w:t>
      </w:r>
      <w:r>
        <w:rPr>
          <w:rFonts w:ascii="Arial" w:hAnsi="Arial" w:cs="Arial"/>
          <w:sz w:val="12"/>
          <w:szCs w:val="12"/>
        </w:rPr>
        <w:t xml:space="preserve">mong 122 hospitals. Clin Infect </w:t>
      </w:r>
      <w:r w:rsidRPr="00624320">
        <w:rPr>
          <w:rFonts w:ascii="Arial" w:hAnsi="Arial" w:cs="Arial"/>
          <w:sz w:val="12"/>
          <w:szCs w:val="12"/>
        </w:rPr>
        <w:t>Dis. 2015 Aug 1;61(3):361-7.</w:t>
      </w:r>
      <w:hyperlink r:id="rId22" w:history="1">
        <w:r w:rsidRPr="00624320">
          <w:rPr>
            <w:rStyle w:val="Hyperlink"/>
            <w:rFonts w:ascii="Arial" w:hAnsi="Arial" w:cs="Arial"/>
            <w:sz w:val="12"/>
            <w:szCs w:val="12"/>
          </w:rPr>
          <w:t>https://www.ncbi.nlm.nih.gov/pubmed/25900170</w:t>
        </w:r>
      </w:hyperlink>
    </w:p>
  </w:endnote>
  <w:endnote w:id="11">
    <w:p w14:paraId="6D89BB6C" w14:textId="0C40D7EA" w:rsidR="00354AF5" w:rsidRPr="00C94625" w:rsidRDefault="00354AF5" w:rsidP="006026A1">
      <w:pPr>
        <w:pStyle w:val="EndnoteText"/>
        <w:tabs>
          <w:tab w:val="left" w:pos="180"/>
        </w:tabs>
        <w:rPr>
          <w:rFonts w:ascii="Arial" w:hAnsi="Arial" w:cs="Arial"/>
          <w:sz w:val="12"/>
          <w:szCs w:val="12"/>
        </w:rPr>
      </w:pPr>
      <w:r w:rsidRPr="0085135C">
        <w:rPr>
          <w:rStyle w:val="EndnoteReference"/>
          <w:rFonts w:ascii="Arial" w:hAnsi="Arial" w:cs="Arial"/>
          <w:sz w:val="12"/>
          <w:szCs w:val="12"/>
        </w:rPr>
        <w:endnoteRef/>
      </w:r>
      <w:r w:rsidRPr="0085135C">
        <w:rPr>
          <w:rFonts w:ascii="Arial" w:hAnsi="Arial" w:cs="Arial"/>
          <w:sz w:val="12"/>
          <w:szCs w:val="12"/>
        </w:rPr>
        <w:tab/>
      </w:r>
      <w:r>
        <w:rPr>
          <w:rFonts w:ascii="Arial" w:hAnsi="Arial" w:cs="Arial"/>
          <w:sz w:val="12"/>
          <w:szCs w:val="12"/>
        </w:rPr>
        <w:t xml:space="preserve">Flucloxacillin, oral (dose): </w:t>
      </w:r>
      <w:r w:rsidRPr="00C854C7">
        <w:rPr>
          <w:rFonts w:ascii="Arial" w:hAnsi="Arial" w:cs="Arial"/>
          <w:sz w:val="12"/>
          <w:szCs w:val="12"/>
        </w:rPr>
        <w:t>South African Medicines Formulary.  1</w:t>
      </w:r>
      <w:r>
        <w:rPr>
          <w:rFonts w:ascii="Arial" w:hAnsi="Arial" w:cs="Arial"/>
          <w:sz w:val="12"/>
          <w:szCs w:val="12"/>
        </w:rPr>
        <w:t>4</w:t>
      </w:r>
      <w:r w:rsidRPr="00C854C7">
        <w:rPr>
          <w:rFonts w:ascii="Arial" w:hAnsi="Arial" w:cs="Arial"/>
          <w:sz w:val="12"/>
          <w:szCs w:val="12"/>
        </w:rPr>
        <w:t>th Edition.  Division of Clinical Pharmacology.  University of Cape Town. 20</w:t>
      </w:r>
      <w:r>
        <w:rPr>
          <w:rFonts w:ascii="Arial" w:hAnsi="Arial" w:cs="Arial"/>
          <w:sz w:val="12"/>
          <w:szCs w:val="12"/>
        </w:rPr>
        <w:t>22</w:t>
      </w:r>
      <w:r w:rsidRPr="00C854C7">
        <w:rPr>
          <w:rFonts w:ascii="Arial" w:hAnsi="Arial" w:cs="Arial"/>
          <w:sz w:val="12"/>
          <w:szCs w:val="12"/>
        </w:rPr>
        <w:t>.</w:t>
      </w:r>
    </w:p>
  </w:endnote>
  <w:endnote w:id="12">
    <w:p w14:paraId="57E7FED1" w14:textId="77777777" w:rsidR="00354AF5" w:rsidRPr="00C94625" w:rsidRDefault="00354AF5" w:rsidP="005E1933">
      <w:pPr>
        <w:pStyle w:val="EndnoteText"/>
        <w:tabs>
          <w:tab w:val="left" w:pos="180"/>
        </w:tabs>
        <w:rPr>
          <w:rFonts w:ascii="Arial" w:hAnsi="Arial" w:cs="Arial"/>
          <w:sz w:val="12"/>
          <w:szCs w:val="12"/>
        </w:rPr>
      </w:pPr>
      <w:r w:rsidRPr="0085135C">
        <w:rPr>
          <w:rStyle w:val="EndnoteReference"/>
          <w:rFonts w:ascii="Arial" w:hAnsi="Arial" w:cs="Arial"/>
          <w:sz w:val="12"/>
          <w:szCs w:val="12"/>
        </w:rPr>
        <w:endnoteRef/>
      </w:r>
      <w:r w:rsidRPr="0085135C">
        <w:rPr>
          <w:rFonts w:ascii="Arial" w:hAnsi="Arial" w:cs="Arial"/>
          <w:sz w:val="12"/>
          <w:szCs w:val="12"/>
        </w:rPr>
        <w:tab/>
      </w:r>
      <w:r>
        <w:rPr>
          <w:rFonts w:ascii="Arial" w:hAnsi="Arial" w:cs="Arial"/>
          <w:sz w:val="12"/>
          <w:szCs w:val="12"/>
        </w:rPr>
        <w:t xml:space="preserve">Empiric antibiotic therapy (surgical wound infections): </w:t>
      </w:r>
      <w:r w:rsidRPr="005E1933">
        <w:rPr>
          <w:rFonts w:ascii="Arial" w:hAnsi="Arial" w:cs="Arial"/>
          <w:sz w:val="12"/>
          <w:szCs w:val="12"/>
        </w:rPr>
        <w:t>Stevens DL, Bisno AL, Chambers HF, Dellinger EP, Goldstein EJ, Gorbach SL, Hirschmann JV, Kaplan SL, Montoya JG, Wade JC. Practice guidelines for the diagnosis and management of skin and soft tissue infections: 2014 update by the Infectious Diseases Society of America. Clin Infect Dis. 2014 Jul 15;59(2):e10-52. Erratum in: Clin Infect Dis. 2015 May 1;60(9):1448. Dosage error in article text.</w:t>
      </w:r>
      <w:hyperlink r:id="rId23" w:history="1">
        <w:r w:rsidRPr="00126047">
          <w:rPr>
            <w:rStyle w:val="Hyperlink"/>
            <w:rFonts w:ascii="Arial" w:hAnsi="Arial" w:cs="Arial"/>
            <w:sz w:val="12"/>
            <w:szCs w:val="12"/>
          </w:rPr>
          <w:t>http://www.ncbi.nlm.nih.gov/pubmed/24973422</w:t>
        </w:r>
      </w:hyperlink>
    </w:p>
  </w:endnote>
  <w:endnote w:id="13">
    <w:p w14:paraId="31B4698D" w14:textId="77777777" w:rsidR="00354AF5" w:rsidRDefault="00354AF5" w:rsidP="00D024FB">
      <w:pPr>
        <w:pStyle w:val="EndnoteText"/>
        <w:tabs>
          <w:tab w:val="left" w:pos="180"/>
        </w:tabs>
        <w:rPr>
          <w:rFonts w:ascii="Arial" w:hAnsi="Arial" w:cs="Arial"/>
          <w:sz w:val="12"/>
          <w:szCs w:val="12"/>
        </w:rPr>
      </w:pPr>
      <w:r w:rsidRPr="0085135C">
        <w:rPr>
          <w:rStyle w:val="EndnoteReference"/>
          <w:rFonts w:ascii="Arial" w:hAnsi="Arial" w:cs="Arial"/>
          <w:sz w:val="12"/>
          <w:szCs w:val="12"/>
        </w:rPr>
        <w:endnoteRef/>
      </w:r>
      <w:r w:rsidRPr="0085135C">
        <w:rPr>
          <w:rFonts w:ascii="Arial" w:hAnsi="Arial" w:cs="Arial"/>
          <w:sz w:val="12"/>
          <w:szCs w:val="12"/>
        </w:rPr>
        <w:tab/>
      </w:r>
      <w:r>
        <w:rPr>
          <w:rFonts w:ascii="Arial" w:hAnsi="Arial" w:cs="Arial"/>
          <w:sz w:val="12"/>
          <w:szCs w:val="12"/>
        </w:rPr>
        <w:t xml:space="preserve">Ertapenem, IV (severe penicillin allergy &amp; confirmed Gram negative culture): </w:t>
      </w:r>
      <w:r w:rsidRPr="00C039EE">
        <w:rPr>
          <w:rFonts w:ascii="Arial" w:hAnsi="Arial" w:cs="Arial"/>
          <w:sz w:val="12"/>
          <w:szCs w:val="12"/>
        </w:rPr>
        <w:t xml:space="preserve">An MM, Zou Z, Shen H, Zhang JD, Chen ML, Liu P, Wang R, Jiang YY. Ertapenem versus piperacillin/tazobactam for the treatment of complicated infections: a meta-analysis of randomized controlled trials. BMC Infect Dis. 2009 Dec 2;9:193. </w:t>
      </w:r>
      <w:hyperlink r:id="rId24" w:history="1">
        <w:r w:rsidRPr="00C039EE">
          <w:rPr>
            <w:rStyle w:val="Hyperlink"/>
            <w:rFonts w:ascii="Arial" w:hAnsi="Arial" w:cs="Arial"/>
            <w:sz w:val="12"/>
            <w:szCs w:val="12"/>
          </w:rPr>
          <w:t>https://www.ncbi.nlm.nih.gov/pubmed/19951447</w:t>
        </w:r>
      </w:hyperlink>
    </w:p>
    <w:p w14:paraId="71420503" w14:textId="77777777" w:rsidR="00354AF5" w:rsidRPr="00C94625" w:rsidRDefault="00354AF5" w:rsidP="00D024FB">
      <w:pPr>
        <w:pStyle w:val="EndnoteText"/>
        <w:tabs>
          <w:tab w:val="left" w:pos="180"/>
        </w:tabs>
        <w:rPr>
          <w:rFonts w:ascii="Arial" w:hAnsi="Arial" w:cs="Arial"/>
          <w:sz w:val="12"/>
          <w:szCs w:val="12"/>
        </w:rPr>
      </w:pPr>
      <w:r>
        <w:rPr>
          <w:rFonts w:ascii="Arial" w:hAnsi="Arial" w:cs="Arial"/>
          <w:sz w:val="12"/>
          <w:szCs w:val="12"/>
        </w:rPr>
        <w:tab/>
        <w:t xml:space="preserve">Ertapenem (severe penicillin allergy &amp; confirmed Gram negative culture): </w:t>
      </w:r>
      <w:r w:rsidRPr="00C039EE">
        <w:rPr>
          <w:rFonts w:ascii="Arial" w:hAnsi="Arial" w:cs="Arial"/>
          <w:sz w:val="12"/>
          <w:szCs w:val="12"/>
        </w:rPr>
        <w:t>NICD AMR surveillance for ESKAPE, 1 January 2016 to 31 December 2016.</w:t>
      </w:r>
    </w:p>
  </w:endnote>
  <w:endnote w:id="14">
    <w:p w14:paraId="261242E8" w14:textId="77777777" w:rsidR="00354AF5" w:rsidRDefault="00354AF5" w:rsidP="004721F1">
      <w:pPr>
        <w:pStyle w:val="EndnoteText"/>
        <w:tabs>
          <w:tab w:val="left" w:pos="180"/>
        </w:tabs>
        <w:rPr>
          <w:rFonts w:ascii="Arial" w:hAnsi="Arial" w:cs="Arial"/>
          <w:sz w:val="12"/>
          <w:szCs w:val="12"/>
        </w:rPr>
      </w:pPr>
      <w:r w:rsidRPr="0085135C">
        <w:rPr>
          <w:rStyle w:val="EndnoteReference"/>
          <w:rFonts w:ascii="Arial" w:hAnsi="Arial" w:cs="Arial"/>
          <w:sz w:val="12"/>
          <w:szCs w:val="12"/>
        </w:rPr>
        <w:endnoteRef/>
      </w:r>
      <w:r w:rsidRPr="0085135C">
        <w:rPr>
          <w:rFonts w:ascii="Arial" w:hAnsi="Arial" w:cs="Arial"/>
          <w:sz w:val="12"/>
          <w:szCs w:val="12"/>
        </w:rPr>
        <w:tab/>
      </w:r>
      <w:r>
        <w:rPr>
          <w:rFonts w:ascii="Arial" w:hAnsi="Arial" w:cs="Arial"/>
          <w:sz w:val="12"/>
          <w:szCs w:val="12"/>
        </w:rPr>
        <w:t xml:space="preserve">Vancomycin, IV: </w:t>
      </w:r>
      <w:r w:rsidRPr="00507AAD">
        <w:rPr>
          <w:rFonts w:ascii="Arial" w:hAnsi="Arial" w:cs="Arial"/>
          <w:sz w:val="12"/>
          <w:szCs w:val="12"/>
        </w:rPr>
        <w:t xml:space="preserve">Reardon J, Lau TT, Ensom MH. Vancomycin loading doses: a systematic review. Ann Pharmacother. 2015 May;49(5):557-65. </w:t>
      </w:r>
      <w:hyperlink r:id="rId25" w:history="1">
        <w:r w:rsidRPr="00530481">
          <w:rPr>
            <w:rStyle w:val="Hyperlink"/>
            <w:rFonts w:ascii="Arial" w:hAnsi="Arial" w:cs="Arial"/>
            <w:sz w:val="12"/>
            <w:szCs w:val="12"/>
          </w:rPr>
          <w:t>http://www.ncbi.nlm.nih.gov/pubmed/25712445</w:t>
        </w:r>
      </w:hyperlink>
    </w:p>
    <w:p w14:paraId="259D9307" w14:textId="77777777" w:rsidR="00354AF5" w:rsidRDefault="00354AF5" w:rsidP="004721F1">
      <w:pPr>
        <w:pStyle w:val="EndnoteText"/>
        <w:tabs>
          <w:tab w:val="left" w:pos="180"/>
        </w:tabs>
        <w:rPr>
          <w:rStyle w:val="Hyperlink"/>
          <w:rFonts w:ascii="Arial" w:hAnsi="Arial" w:cs="Arial"/>
          <w:sz w:val="12"/>
          <w:szCs w:val="12"/>
        </w:rPr>
      </w:pPr>
      <w:r>
        <w:rPr>
          <w:rFonts w:ascii="Arial" w:hAnsi="Arial" w:cs="Arial"/>
          <w:sz w:val="12"/>
          <w:szCs w:val="12"/>
        </w:rPr>
        <w:tab/>
        <w:t xml:space="preserve">Vancomycin, IV: </w:t>
      </w:r>
      <w:r w:rsidRPr="004C261E">
        <w:rPr>
          <w:rFonts w:ascii="Arial" w:hAnsi="Arial" w:cs="Arial"/>
          <w:sz w:val="12"/>
          <w:szCs w:val="12"/>
        </w:rPr>
        <w:t xml:space="preserve">Rybak M, Lomaestro B, Rotschafer JC, Moellering R Jr, Craig W, Billeter M, Dalovisio JR, Levine DP. Therapeutic monitoring of vancomycin in adult patients:  a consensus review of the American Society of Health-System Pharmacists, the Infectious Diseases Society of America, and the Society of Infectious Diseases Pharmacists. Am J Health Syst Pharm. 2009 Jan 1;66(1):82-98. Erratum in: Am J Health Syst Pharm. 2009 May 15;66(10):887. </w:t>
      </w:r>
      <w:hyperlink r:id="rId26" w:history="1">
        <w:r w:rsidRPr="005D0E90">
          <w:rPr>
            <w:rStyle w:val="Hyperlink"/>
            <w:rFonts w:ascii="Arial" w:hAnsi="Arial" w:cs="Arial"/>
            <w:sz w:val="12"/>
            <w:szCs w:val="12"/>
          </w:rPr>
          <w:t>http://www.ncbi.nlm.nih.gov/pubmed/19106348</w:t>
        </w:r>
      </w:hyperlink>
    </w:p>
    <w:p w14:paraId="6584EC2C" w14:textId="291E37BB" w:rsidR="00354AF5" w:rsidRPr="00C94625" w:rsidRDefault="00354AF5" w:rsidP="004721F1">
      <w:pPr>
        <w:pStyle w:val="EndnoteText"/>
        <w:tabs>
          <w:tab w:val="left" w:pos="180"/>
        </w:tabs>
        <w:rPr>
          <w:rFonts w:ascii="Arial" w:hAnsi="Arial" w:cs="Arial"/>
          <w:sz w:val="12"/>
          <w:szCs w:val="12"/>
        </w:rPr>
      </w:pPr>
      <w:r>
        <w:rPr>
          <w:rFonts w:ascii="Arial" w:hAnsi="Arial" w:cs="Arial"/>
          <w:sz w:val="12"/>
          <w:szCs w:val="12"/>
        </w:rPr>
        <w:tab/>
        <w:t xml:space="preserve">Vancomycin, IV: </w:t>
      </w:r>
      <w:r w:rsidRPr="00C854C7">
        <w:rPr>
          <w:rFonts w:ascii="Arial" w:hAnsi="Arial" w:cs="Arial"/>
          <w:sz w:val="12"/>
          <w:szCs w:val="12"/>
        </w:rPr>
        <w:t>South African Medicines Formulary.  1</w:t>
      </w:r>
      <w:r>
        <w:rPr>
          <w:rFonts w:ascii="Arial" w:hAnsi="Arial" w:cs="Arial"/>
          <w:sz w:val="12"/>
          <w:szCs w:val="12"/>
        </w:rPr>
        <w:t>4</w:t>
      </w:r>
      <w:r w:rsidRPr="00C854C7">
        <w:rPr>
          <w:rFonts w:ascii="Arial" w:hAnsi="Arial" w:cs="Arial"/>
          <w:sz w:val="12"/>
          <w:szCs w:val="12"/>
        </w:rPr>
        <w:t>th Edition.  Division of Clinical Pharmacology.  University of Cape Town. 20</w:t>
      </w:r>
      <w:r>
        <w:rPr>
          <w:rFonts w:ascii="Arial" w:hAnsi="Arial" w:cs="Arial"/>
          <w:sz w:val="12"/>
          <w:szCs w:val="12"/>
        </w:rPr>
        <w:t>22</w:t>
      </w:r>
      <w:r w:rsidRPr="00C854C7">
        <w:rPr>
          <w:rFonts w:ascii="Arial" w:hAnsi="Arial" w:cs="Arial"/>
          <w:sz w:val="12"/>
          <w:szCs w:val="12"/>
        </w:rPr>
        <w:t>.</w:t>
      </w:r>
    </w:p>
  </w:endnote>
  <w:endnote w:id="15">
    <w:p w14:paraId="3A47881D" w14:textId="77777777" w:rsidR="00354AF5" w:rsidRDefault="00354AF5" w:rsidP="005E1933">
      <w:pPr>
        <w:pStyle w:val="EndnoteText"/>
        <w:tabs>
          <w:tab w:val="left" w:pos="180"/>
        </w:tabs>
        <w:rPr>
          <w:rFonts w:ascii="Arial" w:hAnsi="Arial" w:cs="Arial"/>
          <w:sz w:val="12"/>
          <w:szCs w:val="12"/>
        </w:rPr>
      </w:pPr>
      <w:r w:rsidRPr="0085135C">
        <w:rPr>
          <w:rStyle w:val="EndnoteReference"/>
          <w:rFonts w:ascii="Arial" w:hAnsi="Arial" w:cs="Arial"/>
          <w:sz w:val="12"/>
          <w:szCs w:val="12"/>
        </w:rPr>
        <w:endnoteRef/>
      </w:r>
      <w:r w:rsidRPr="0085135C">
        <w:rPr>
          <w:rFonts w:ascii="Arial" w:hAnsi="Arial" w:cs="Arial"/>
          <w:sz w:val="12"/>
          <w:szCs w:val="12"/>
        </w:rPr>
        <w:tab/>
      </w:r>
      <w:r>
        <w:rPr>
          <w:rFonts w:ascii="Arial" w:hAnsi="Arial" w:cs="Arial"/>
          <w:sz w:val="12"/>
          <w:szCs w:val="12"/>
        </w:rPr>
        <w:t xml:space="preserve">Empiric antibiotic therapy (surgical wound infections): </w:t>
      </w:r>
      <w:r w:rsidRPr="005E1933">
        <w:rPr>
          <w:rFonts w:ascii="Arial" w:hAnsi="Arial" w:cs="Arial"/>
          <w:sz w:val="12"/>
          <w:szCs w:val="12"/>
        </w:rPr>
        <w:t>Stevens DL, Bisno AL, Chambers HF, Dellinger EP, Goldstein EJ, Gorbach SL, Hirschmann JV, Kaplan SL, Montoya JG, Wade JC. Practice guidelines for the diagnosis and management of skin and soft tissue infections: 2014 update by the Infectious Diseases Society of America. Clin Infect Dis. 2014 Jul 15;59(2):e10-52. Erratum in: Clin Infect Dis. 2015 May 1;60(9):1448. Dosage error in article text.</w:t>
      </w:r>
      <w:hyperlink r:id="rId27" w:history="1">
        <w:r w:rsidRPr="00126047">
          <w:rPr>
            <w:rStyle w:val="Hyperlink"/>
            <w:rFonts w:ascii="Arial" w:hAnsi="Arial" w:cs="Arial"/>
            <w:sz w:val="12"/>
            <w:szCs w:val="12"/>
          </w:rPr>
          <w:t>http://www.ncbi.nlm.nih.gov/pubmed/24973422</w:t>
        </w:r>
      </w:hyperlink>
    </w:p>
    <w:p w14:paraId="653D829F" w14:textId="77777777" w:rsidR="00354AF5" w:rsidRDefault="00354AF5" w:rsidP="005E1933">
      <w:pPr>
        <w:pStyle w:val="EndnoteText"/>
        <w:tabs>
          <w:tab w:val="left" w:pos="180"/>
        </w:tabs>
        <w:rPr>
          <w:rFonts w:ascii="Arial" w:hAnsi="Arial" w:cs="Arial"/>
          <w:sz w:val="12"/>
          <w:szCs w:val="12"/>
        </w:rPr>
      </w:pPr>
      <w:r>
        <w:rPr>
          <w:rFonts w:ascii="Arial" w:hAnsi="Arial" w:cs="Arial"/>
          <w:sz w:val="12"/>
          <w:szCs w:val="12"/>
        </w:rPr>
        <w:tab/>
        <w:t>Ceftriaxone, IV (</w:t>
      </w:r>
      <w:r w:rsidRPr="00696EAF">
        <w:rPr>
          <w:rFonts w:ascii="Arial" w:hAnsi="Arial" w:cs="Arial"/>
          <w:sz w:val="12"/>
          <w:szCs w:val="12"/>
        </w:rPr>
        <w:t>Surgery on female uro-genital tract/ open GIT surgery</w:t>
      </w:r>
      <w:r>
        <w:rPr>
          <w:rFonts w:ascii="Arial" w:hAnsi="Arial" w:cs="Arial"/>
          <w:sz w:val="12"/>
          <w:szCs w:val="12"/>
        </w:rPr>
        <w:t xml:space="preserve">): </w:t>
      </w:r>
      <w:r w:rsidRPr="005E1933">
        <w:rPr>
          <w:rFonts w:ascii="Arial" w:hAnsi="Arial" w:cs="Arial"/>
          <w:sz w:val="12"/>
          <w:szCs w:val="12"/>
        </w:rPr>
        <w:t>Stevens DL, Bisno AL, Chambers HF, Dellinger EP, Goldstein EJ, Gorbach SL, Hirschmann JV, Kaplan SL, Montoya JG, Wade JC. Practice guidelines for the diagnosis and management of skin and soft tissue infections: 2014 update by the Infectious Diseases Society of America. Clin Infect Dis. 2014 Jul 15;59(2):e10-52. Erratum in: Clin Infect Dis. 2015 May 1;60(9):1448. Dosage error in article text.</w:t>
      </w:r>
      <w:hyperlink r:id="rId28" w:history="1">
        <w:r w:rsidRPr="00126047">
          <w:rPr>
            <w:rStyle w:val="Hyperlink"/>
            <w:rFonts w:ascii="Arial" w:hAnsi="Arial" w:cs="Arial"/>
            <w:sz w:val="12"/>
            <w:szCs w:val="12"/>
          </w:rPr>
          <w:t>http://www.ncbi.nlm.nih.gov/pubmed/24973422</w:t>
        </w:r>
      </w:hyperlink>
    </w:p>
    <w:p w14:paraId="03C8EF8C" w14:textId="77777777" w:rsidR="00354AF5" w:rsidRPr="00C94625" w:rsidRDefault="00354AF5" w:rsidP="005E1933">
      <w:pPr>
        <w:pStyle w:val="EndnoteText"/>
        <w:tabs>
          <w:tab w:val="left" w:pos="180"/>
        </w:tabs>
        <w:rPr>
          <w:rFonts w:ascii="Arial" w:hAnsi="Arial" w:cs="Arial"/>
          <w:sz w:val="12"/>
          <w:szCs w:val="12"/>
        </w:rPr>
      </w:pPr>
      <w:r>
        <w:rPr>
          <w:rFonts w:ascii="Arial" w:hAnsi="Arial" w:cs="Arial"/>
          <w:sz w:val="12"/>
          <w:szCs w:val="12"/>
        </w:rPr>
        <w:tab/>
        <w:t>Metronidazole, IV (</w:t>
      </w:r>
      <w:r w:rsidRPr="00696EAF">
        <w:rPr>
          <w:rFonts w:ascii="Arial" w:hAnsi="Arial" w:cs="Arial"/>
          <w:sz w:val="12"/>
          <w:szCs w:val="12"/>
        </w:rPr>
        <w:t>Surgery on female uro-genital tract/ open GIT surgery</w:t>
      </w:r>
      <w:r>
        <w:rPr>
          <w:rFonts w:ascii="Arial" w:hAnsi="Arial" w:cs="Arial"/>
          <w:sz w:val="12"/>
          <w:szCs w:val="12"/>
        </w:rPr>
        <w:t xml:space="preserve">): </w:t>
      </w:r>
      <w:r w:rsidRPr="005E1933">
        <w:rPr>
          <w:rFonts w:ascii="Arial" w:hAnsi="Arial" w:cs="Arial"/>
          <w:sz w:val="12"/>
          <w:szCs w:val="12"/>
        </w:rPr>
        <w:t>Stevens DL, Bisno AL, Chambers HF, Dellinger EP, Goldstein EJ, Gorbach SL, Hirschmann JV, Kaplan SL, Montoya JG, Wade JC. Practice guidelines for the diagnosis and management of skin and soft tissue infections: 2014 update by the Infectious Diseases Society of America. Clin Infect Dis. 2014 Jul 15;59(2):e10-52. Erratum in: Clin Infect Dis. 2015 May 1;60(9):1448. Dosage error in article text.</w:t>
      </w:r>
      <w:hyperlink r:id="rId29" w:history="1">
        <w:r w:rsidRPr="00126047">
          <w:rPr>
            <w:rStyle w:val="Hyperlink"/>
            <w:rFonts w:ascii="Arial" w:hAnsi="Arial" w:cs="Arial"/>
            <w:sz w:val="12"/>
            <w:szCs w:val="12"/>
          </w:rPr>
          <w:t>http://www.ncbi.nlm.nih.gov/pubmed/24973422</w:t>
        </w:r>
      </w:hyperlink>
    </w:p>
  </w:endnote>
  <w:endnote w:id="16">
    <w:p w14:paraId="4257B906" w14:textId="3FBEEA17" w:rsidR="00354AF5" w:rsidRPr="00C94625" w:rsidRDefault="00354AF5" w:rsidP="004D3AE7">
      <w:pPr>
        <w:pStyle w:val="EndnoteText"/>
        <w:widowControl w:val="0"/>
        <w:tabs>
          <w:tab w:val="left" w:pos="180"/>
        </w:tabs>
        <w:rPr>
          <w:rFonts w:ascii="Arial" w:hAnsi="Arial" w:cs="Arial"/>
          <w:sz w:val="12"/>
          <w:szCs w:val="12"/>
        </w:rPr>
      </w:pPr>
      <w:r w:rsidRPr="0085135C">
        <w:rPr>
          <w:rStyle w:val="EndnoteReference"/>
          <w:rFonts w:ascii="Arial" w:hAnsi="Arial" w:cs="Arial"/>
          <w:sz w:val="12"/>
          <w:szCs w:val="12"/>
        </w:rPr>
        <w:endnoteRef/>
      </w:r>
      <w:r w:rsidRPr="0085135C">
        <w:rPr>
          <w:rFonts w:ascii="Arial" w:hAnsi="Arial" w:cs="Arial"/>
          <w:sz w:val="12"/>
          <w:szCs w:val="12"/>
        </w:rPr>
        <w:tab/>
      </w:r>
      <w:r>
        <w:rPr>
          <w:rFonts w:ascii="Arial" w:hAnsi="Arial" w:cs="Arial"/>
          <w:sz w:val="12"/>
          <w:szCs w:val="12"/>
        </w:rPr>
        <w:t xml:space="preserve">Criterion for empiric antibiotic therapy for MDR-HAP and MDR-VAP: Meta-analysis in guideline - </w:t>
      </w:r>
      <w:r w:rsidRPr="004D3AE7">
        <w:rPr>
          <w:rFonts w:ascii="Arial" w:hAnsi="Arial" w:cs="Arial"/>
          <w:sz w:val="12"/>
          <w:szCs w:val="12"/>
        </w:rPr>
        <w:t xml:space="preserve">Kalil AC, Metersky ML, Klompas M, Muscedere J, Sweeney DA, Palmer LB et al. Management of Adults With Hospital-acquired and Ventilator-associated Pneumonia:  2016 Clinical Practice Guidelines by the Infectious Diseases Society of America and the American Thoracic Society. Clin Infect Dis. 2016 Sep 1;63(5):e61-e111. </w:t>
      </w:r>
      <w:hyperlink r:id="rId30" w:history="1">
        <w:r w:rsidRPr="00A03EC8">
          <w:rPr>
            <w:rStyle w:val="Hyperlink"/>
            <w:rFonts w:ascii="Arial" w:hAnsi="Arial" w:cs="Arial"/>
            <w:sz w:val="12"/>
            <w:szCs w:val="12"/>
          </w:rPr>
          <w:t>https://www.ncbi.nlm.nih.gov/pubmed/27418577</w:t>
        </w:r>
      </w:hyperlink>
      <w:r>
        <w:rPr>
          <w:rFonts w:ascii="Arial" w:hAnsi="Arial" w:cs="Arial"/>
          <w:sz w:val="12"/>
          <w:szCs w:val="12"/>
        </w:rPr>
        <w:t xml:space="preserve"> </w:t>
      </w:r>
    </w:p>
  </w:endnote>
  <w:endnote w:id="17">
    <w:p w14:paraId="2E900AA9" w14:textId="7BD3B777" w:rsidR="00354AF5" w:rsidRDefault="00354AF5" w:rsidP="00235E75">
      <w:pPr>
        <w:pStyle w:val="EndnoteText"/>
        <w:widowControl w:val="0"/>
        <w:tabs>
          <w:tab w:val="left" w:pos="180"/>
        </w:tabs>
        <w:rPr>
          <w:rFonts w:ascii="Arial" w:hAnsi="Arial" w:cs="Arial"/>
          <w:sz w:val="12"/>
          <w:szCs w:val="12"/>
        </w:rPr>
      </w:pPr>
      <w:r w:rsidRPr="0085135C">
        <w:rPr>
          <w:rStyle w:val="EndnoteReference"/>
          <w:rFonts w:ascii="Arial" w:hAnsi="Arial" w:cs="Arial"/>
          <w:sz w:val="12"/>
          <w:szCs w:val="12"/>
        </w:rPr>
        <w:endnoteRef/>
      </w:r>
      <w:r w:rsidRPr="0085135C">
        <w:rPr>
          <w:rFonts w:ascii="Arial" w:hAnsi="Arial" w:cs="Arial"/>
          <w:sz w:val="12"/>
          <w:szCs w:val="12"/>
        </w:rPr>
        <w:tab/>
      </w:r>
      <w:r>
        <w:rPr>
          <w:rFonts w:ascii="Arial" w:hAnsi="Arial" w:cs="Arial"/>
          <w:sz w:val="12"/>
          <w:szCs w:val="12"/>
        </w:rPr>
        <w:t xml:space="preserve">Duration of antibiotic therapy (7 days for VAP): </w:t>
      </w:r>
      <w:r w:rsidRPr="00BC0F55">
        <w:rPr>
          <w:rFonts w:ascii="Arial" w:hAnsi="Arial" w:cs="Arial"/>
          <w:sz w:val="12"/>
          <w:szCs w:val="12"/>
        </w:rPr>
        <w:t xml:space="preserve">Pugh R, Grant C, Cooke RP, Dempsey G. Short-course versus prolonged-course antibiotic therapy for hospital-acquired pneumonia in critically ill adults. Cochrane Database Syst Rev. 2015 Aug 24;2015(8):CD007577. </w:t>
      </w:r>
      <w:hyperlink r:id="rId31" w:history="1">
        <w:r w:rsidRPr="0030728C">
          <w:rPr>
            <w:rStyle w:val="Hyperlink"/>
            <w:rFonts w:ascii="Arial" w:hAnsi="Arial" w:cs="Arial"/>
            <w:sz w:val="12"/>
            <w:szCs w:val="12"/>
          </w:rPr>
          <w:t>https://pubmed.ncbi.nlm.nih.gov/26301604/</w:t>
        </w:r>
      </w:hyperlink>
      <w:r>
        <w:rPr>
          <w:rFonts w:ascii="Arial" w:hAnsi="Arial" w:cs="Arial"/>
          <w:sz w:val="12"/>
          <w:szCs w:val="12"/>
        </w:rPr>
        <w:t xml:space="preserve"> </w:t>
      </w:r>
    </w:p>
    <w:p w14:paraId="02B21A1A" w14:textId="1F889BC1" w:rsidR="00354AF5" w:rsidRDefault="00354AF5" w:rsidP="00235E75">
      <w:pPr>
        <w:pStyle w:val="EndnoteText"/>
        <w:widowControl w:val="0"/>
        <w:tabs>
          <w:tab w:val="left" w:pos="180"/>
        </w:tabs>
        <w:rPr>
          <w:rFonts w:ascii="Arial" w:hAnsi="Arial" w:cs="Arial"/>
          <w:sz w:val="12"/>
          <w:szCs w:val="12"/>
        </w:rPr>
      </w:pPr>
      <w:r>
        <w:rPr>
          <w:rFonts w:ascii="Arial" w:hAnsi="Arial" w:cs="Arial"/>
          <w:sz w:val="12"/>
          <w:szCs w:val="12"/>
        </w:rPr>
        <w:tab/>
        <w:t xml:space="preserve">Duration of antibiotic therapy (7 days for VAP): </w:t>
      </w:r>
      <w:r w:rsidRPr="00BC0F55">
        <w:rPr>
          <w:rFonts w:ascii="Arial" w:hAnsi="Arial" w:cs="Arial"/>
          <w:sz w:val="12"/>
          <w:szCs w:val="12"/>
        </w:rPr>
        <w:t xml:space="preserve">Dimopoulos G, Poulakou G, Pneumatikos IA, Armaganidis A, Kollef MH, Matthaiou DK. Short- vs long-duration antibiotic regimens for ventilator-associated pneumonia: a systematic review and meta-analysis. Chest. 2013 Dec;144(6):1759-1767. </w:t>
      </w:r>
      <w:hyperlink r:id="rId32" w:history="1">
        <w:r w:rsidRPr="0030728C">
          <w:rPr>
            <w:rStyle w:val="Hyperlink"/>
            <w:rFonts w:ascii="Arial" w:hAnsi="Arial" w:cs="Arial"/>
            <w:sz w:val="12"/>
            <w:szCs w:val="12"/>
          </w:rPr>
          <w:t>https://pubmed.ncbi.nlm.nih.gov/23788274/</w:t>
        </w:r>
      </w:hyperlink>
      <w:r>
        <w:rPr>
          <w:rFonts w:ascii="Arial" w:hAnsi="Arial" w:cs="Arial"/>
          <w:sz w:val="12"/>
          <w:szCs w:val="12"/>
        </w:rPr>
        <w:t xml:space="preserve"> </w:t>
      </w:r>
    </w:p>
    <w:p w14:paraId="09D91EF7" w14:textId="47BD9F02" w:rsidR="00354AF5" w:rsidRPr="00C94625" w:rsidRDefault="00354AF5" w:rsidP="00235E75">
      <w:pPr>
        <w:pStyle w:val="EndnoteText"/>
        <w:widowControl w:val="0"/>
        <w:tabs>
          <w:tab w:val="left" w:pos="180"/>
        </w:tabs>
        <w:rPr>
          <w:rFonts w:ascii="Arial" w:hAnsi="Arial" w:cs="Arial"/>
          <w:sz w:val="12"/>
          <w:szCs w:val="12"/>
        </w:rPr>
      </w:pPr>
      <w:r>
        <w:rPr>
          <w:rFonts w:ascii="Arial" w:hAnsi="Arial" w:cs="Arial"/>
          <w:sz w:val="12"/>
          <w:szCs w:val="12"/>
        </w:rPr>
        <w:tab/>
        <w:t xml:space="preserve">Duration of antibiotic therapy (7 days for VAP/HAP): </w:t>
      </w:r>
      <w:r w:rsidRPr="00BC0F55">
        <w:rPr>
          <w:rFonts w:ascii="Arial" w:hAnsi="Arial" w:cs="Arial"/>
          <w:sz w:val="12"/>
          <w:szCs w:val="12"/>
        </w:rPr>
        <w:t xml:space="preserve">Kalil AC, Metersky ML, Klompas M, Muscedere J, Sweeney DA, Palmer LB, Napolitano LM, </w:t>
      </w:r>
      <w:r>
        <w:rPr>
          <w:rFonts w:ascii="Arial" w:hAnsi="Arial" w:cs="Arial"/>
          <w:sz w:val="12"/>
          <w:szCs w:val="12"/>
        </w:rPr>
        <w:t>et al</w:t>
      </w:r>
      <w:r w:rsidRPr="00BC0F55">
        <w:rPr>
          <w:rFonts w:ascii="Arial" w:hAnsi="Arial" w:cs="Arial"/>
          <w:sz w:val="12"/>
          <w:szCs w:val="12"/>
        </w:rPr>
        <w:t xml:space="preserve">. Management of Adults With Hospital-acquired and Ventilator-associated Pneumonia: 2016 Clinical Practice Guidelines by the Infectious Diseases Society of America and the American Thoracic Society. Clin Infect Dis. 2016 Sep 1;63(5):e61-e111. doi: 10.1093/cid/ciw353. Epub 2016 Jul 14. Erratum in: Clin Infect Dis. 2017 May 1;64(9):1298. Erratum in: Clin Infect Dis. 2017 Oct 15;65(8):1435. Erratum in: Clin Infect Dis. 2017 Nov 29;65(12):2161. </w:t>
      </w:r>
      <w:hyperlink r:id="rId33" w:history="1">
        <w:r w:rsidRPr="0030728C">
          <w:rPr>
            <w:rStyle w:val="Hyperlink"/>
            <w:rFonts w:ascii="Arial" w:hAnsi="Arial" w:cs="Arial"/>
            <w:sz w:val="12"/>
            <w:szCs w:val="12"/>
          </w:rPr>
          <w:t>https://pubmed.ncbi.nlm.nih.gov/27418577/</w:t>
        </w:r>
      </w:hyperlink>
      <w:r>
        <w:rPr>
          <w:rFonts w:ascii="Arial" w:hAnsi="Arial" w:cs="Arial"/>
          <w:sz w:val="12"/>
          <w:szCs w:val="12"/>
        </w:rPr>
        <w:t xml:space="preserve"> </w:t>
      </w:r>
    </w:p>
  </w:endnote>
  <w:endnote w:id="18">
    <w:p w14:paraId="4E9A82E8" w14:textId="77777777" w:rsidR="00354AF5" w:rsidRPr="00C94625" w:rsidRDefault="00354AF5" w:rsidP="00180473">
      <w:pPr>
        <w:pStyle w:val="EndnoteText"/>
        <w:widowControl w:val="0"/>
        <w:tabs>
          <w:tab w:val="left" w:pos="180"/>
        </w:tabs>
        <w:rPr>
          <w:rFonts w:ascii="Arial" w:hAnsi="Arial" w:cs="Arial"/>
          <w:sz w:val="12"/>
          <w:szCs w:val="12"/>
        </w:rPr>
      </w:pPr>
      <w:r w:rsidRPr="0085135C">
        <w:rPr>
          <w:rStyle w:val="EndnoteReference"/>
          <w:rFonts w:ascii="Arial" w:hAnsi="Arial" w:cs="Arial"/>
          <w:sz w:val="12"/>
          <w:szCs w:val="12"/>
        </w:rPr>
        <w:endnoteRef/>
      </w:r>
      <w:r w:rsidRPr="0085135C">
        <w:rPr>
          <w:rFonts w:ascii="Arial" w:hAnsi="Arial" w:cs="Arial"/>
          <w:sz w:val="12"/>
          <w:szCs w:val="12"/>
        </w:rPr>
        <w:tab/>
      </w:r>
      <w:r>
        <w:rPr>
          <w:rFonts w:ascii="Arial" w:hAnsi="Arial" w:cs="Arial"/>
          <w:sz w:val="12"/>
          <w:szCs w:val="12"/>
        </w:rPr>
        <w:t xml:space="preserve">Piperacillin/taxobactam and amikacin: </w:t>
      </w:r>
      <w:r w:rsidRPr="00CD2C6A">
        <w:rPr>
          <w:rFonts w:ascii="Arial" w:hAnsi="Arial" w:cs="Arial"/>
          <w:sz w:val="12"/>
          <w:szCs w:val="12"/>
        </w:rPr>
        <w:t>Nau R, Kinzig-Schippers M, Sörgel F, Schinschke S, Rössing R, Müller C, Kolenda H, Prange HW. Kinetics of piperacillin and tazobactam in ventricular cerebrospinal fluid of hydrocephalic patients.Antimicrob Agents Chemother. 1997 May;41(5):987-91.</w:t>
      </w:r>
      <w:hyperlink r:id="rId34" w:history="1">
        <w:r w:rsidRPr="00126047">
          <w:rPr>
            <w:rStyle w:val="Hyperlink"/>
            <w:rFonts w:ascii="Arial" w:hAnsi="Arial" w:cs="Arial"/>
            <w:sz w:val="12"/>
            <w:szCs w:val="12"/>
          </w:rPr>
          <w:t>http://www.ncbi.nlm.nih.gov/pubmed/9145857</w:t>
        </w:r>
      </w:hyperlink>
    </w:p>
  </w:endnote>
  <w:endnote w:id="19">
    <w:p w14:paraId="1F4E773C" w14:textId="77777777" w:rsidR="00F37AAD" w:rsidRDefault="00F37AAD" w:rsidP="00F37AAD">
      <w:pPr>
        <w:pStyle w:val="EndnoteText"/>
        <w:widowControl w:val="0"/>
        <w:tabs>
          <w:tab w:val="left" w:pos="180"/>
        </w:tabs>
        <w:rPr>
          <w:rFonts w:ascii="Arial" w:hAnsi="Arial" w:cs="Arial"/>
          <w:sz w:val="12"/>
          <w:szCs w:val="12"/>
        </w:rPr>
      </w:pPr>
      <w:r w:rsidRPr="0085135C">
        <w:rPr>
          <w:rStyle w:val="EndnoteReference"/>
          <w:rFonts w:ascii="Arial" w:hAnsi="Arial" w:cs="Arial"/>
          <w:sz w:val="12"/>
          <w:szCs w:val="12"/>
        </w:rPr>
        <w:endnoteRef/>
      </w:r>
      <w:r w:rsidRPr="0085135C">
        <w:rPr>
          <w:rFonts w:ascii="Arial" w:hAnsi="Arial" w:cs="Arial"/>
          <w:sz w:val="12"/>
          <w:szCs w:val="12"/>
        </w:rPr>
        <w:tab/>
      </w:r>
      <w:r>
        <w:rPr>
          <w:rFonts w:ascii="Arial" w:hAnsi="Arial" w:cs="Arial"/>
          <w:sz w:val="12"/>
          <w:szCs w:val="12"/>
        </w:rPr>
        <w:t xml:space="preserve">Cefepime, IV (2 g): </w:t>
      </w:r>
      <w:r w:rsidRPr="006230B6">
        <w:rPr>
          <w:rFonts w:ascii="Arial" w:hAnsi="Arial" w:cs="Arial"/>
          <w:sz w:val="12"/>
          <w:szCs w:val="12"/>
        </w:rPr>
        <w:t>NICD AMR surveillance for ESKAPE, 1 January 2016 to 31 December 2016.</w:t>
      </w:r>
    </w:p>
    <w:p w14:paraId="204101A1" w14:textId="77777777" w:rsidR="00F37AAD" w:rsidRPr="00C94625" w:rsidRDefault="00F37AAD" w:rsidP="00F37AAD">
      <w:pPr>
        <w:pStyle w:val="EndnoteText"/>
        <w:widowControl w:val="0"/>
        <w:tabs>
          <w:tab w:val="left" w:pos="180"/>
        </w:tabs>
        <w:rPr>
          <w:rFonts w:ascii="Arial" w:hAnsi="Arial" w:cs="Arial"/>
          <w:sz w:val="12"/>
          <w:szCs w:val="12"/>
        </w:rPr>
      </w:pPr>
      <w:r>
        <w:rPr>
          <w:rFonts w:ascii="Arial" w:hAnsi="Arial" w:cs="Arial"/>
          <w:sz w:val="12"/>
          <w:szCs w:val="12"/>
        </w:rPr>
        <w:tab/>
        <w:t xml:space="preserve">Cefepime, IV (2 g): </w:t>
      </w:r>
      <w:r w:rsidRPr="006230B6">
        <w:rPr>
          <w:rFonts w:ascii="Arial" w:hAnsi="Arial" w:cs="Arial"/>
          <w:sz w:val="12"/>
          <w:szCs w:val="12"/>
        </w:rPr>
        <w:t>South African Medicines Formulary.  1</w:t>
      </w:r>
      <w:r>
        <w:rPr>
          <w:rFonts w:ascii="Arial" w:hAnsi="Arial" w:cs="Arial"/>
          <w:sz w:val="12"/>
          <w:szCs w:val="12"/>
        </w:rPr>
        <w:t>4</w:t>
      </w:r>
      <w:r w:rsidRPr="006230B6">
        <w:rPr>
          <w:rFonts w:ascii="Arial" w:hAnsi="Arial" w:cs="Arial"/>
          <w:sz w:val="12"/>
          <w:szCs w:val="12"/>
        </w:rPr>
        <w:t>th Edition.  Division of Clinical Pharmacology.  University of Cape Town. 20</w:t>
      </w:r>
      <w:r>
        <w:rPr>
          <w:rFonts w:ascii="Arial" w:hAnsi="Arial" w:cs="Arial"/>
          <w:sz w:val="12"/>
          <w:szCs w:val="12"/>
        </w:rPr>
        <w:t>22</w:t>
      </w:r>
      <w:r w:rsidRPr="006230B6">
        <w:rPr>
          <w:rFonts w:ascii="Arial" w:hAnsi="Arial" w:cs="Arial"/>
          <w:sz w:val="12"/>
          <w:szCs w:val="12"/>
        </w:rPr>
        <w:t>.</w:t>
      </w:r>
    </w:p>
  </w:endnote>
  <w:endnote w:id="20">
    <w:p w14:paraId="34F65890" w14:textId="6D2CAEE8" w:rsidR="00E24080" w:rsidRPr="00C94625" w:rsidRDefault="00E24080" w:rsidP="007812FA">
      <w:pPr>
        <w:pStyle w:val="EndnoteText"/>
        <w:widowControl w:val="0"/>
        <w:tabs>
          <w:tab w:val="left" w:pos="180"/>
        </w:tabs>
        <w:rPr>
          <w:rFonts w:ascii="Arial" w:hAnsi="Arial" w:cs="Arial"/>
          <w:sz w:val="12"/>
          <w:szCs w:val="12"/>
        </w:rPr>
      </w:pPr>
      <w:r w:rsidRPr="0085135C">
        <w:rPr>
          <w:rStyle w:val="EndnoteReference"/>
          <w:rFonts w:ascii="Arial" w:hAnsi="Arial" w:cs="Arial"/>
          <w:sz w:val="12"/>
          <w:szCs w:val="12"/>
        </w:rPr>
        <w:endnoteRef/>
      </w:r>
      <w:r w:rsidRPr="0085135C">
        <w:rPr>
          <w:rFonts w:ascii="Arial" w:hAnsi="Arial" w:cs="Arial"/>
          <w:sz w:val="12"/>
          <w:szCs w:val="12"/>
        </w:rPr>
        <w:tab/>
      </w:r>
      <w:r w:rsidR="007812FA">
        <w:rPr>
          <w:rFonts w:ascii="Arial" w:hAnsi="Arial" w:cs="Arial"/>
          <w:sz w:val="12"/>
          <w:szCs w:val="12"/>
        </w:rPr>
        <w:t xml:space="preserve">Carbapenem (use of </w:t>
      </w:r>
      <w:r w:rsidR="007812FA" w:rsidRPr="007812FA">
        <w:rPr>
          <w:rFonts w:ascii="Arial" w:hAnsi="Arial" w:cs="Arial"/>
          <w:sz w:val="12"/>
          <w:szCs w:val="12"/>
        </w:rPr>
        <w:t>imipenem/cilastin</w:t>
      </w:r>
      <w:r w:rsidR="007812FA">
        <w:rPr>
          <w:rFonts w:ascii="Arial" w:hAnsi="Arial" w:cs="Arial"/>
          <w:sz w:val="12"/>
          <w:szCs w:val="12"/>
        </w:rPr>
        <w:t xml:space="preserve"> and meropenem):</w:t>
      </w:r>
      <w:r>
        <w:rPr>
          <w:rFonts w:ascii="Arial" w:hAnsi="Arial" w:cs="Arial"/>
          <w:sz w:val="12"/>
          <w:szCs w:val="12"/>
        </w:rPr>
        <w:t xml:space="preserve"> </w:t>
      </w:r>
      <w:r w:rsidRPr="006230B6">
        <w:rPr>
          <w:rFonts w:ascii="Arial" w:hAnsi="Arial" w:cs="Arial"/>
          <w:sz w:val="12"/>
          <w:szCs w:val="12"/>
        </w:rPr>
        <w:t>South African Medicines Formulary.  1</w:t>
      </w:r>
      <w:r>
        <w:rPr>
          <w:rFonts w:ascii="Arial" w:hAnsi="Arial" w:cs="Arial"/>
          <w:sz w:val="12"/>
          <w:szCs w:val="12"/>
        </w:rPr>
        <w:t>4</w:t>
      </w:r>
      <w:r w:rsidRPr="006230B6">
        <w:rPr>
          <w:rFonts w:ascii="Arial" w:hAnsi="Arial" w:cs="Arial"/>
          <w:sz w:val="12"/>
          <w:szCs w:val="12"/>
        </w:rPr>
        <w:t>th Edition.  Division of Clinical Pharmacology.  University of Cape Town. 20</w:t>
      </w:r>
      <w:r>
        <w:rPr>
          <w:rFonts w:ascii="Arial" w:hAnsi="Arial" w:cs="Arial"/>
          <w:sz w:val="12"/>
          <w:szCs w:val="12"/>
        </w:rPr>
        <w:t>22</w:t>
      </w:r>
      <w:r w:rsidRPr="006230B6">
        <w:rPr>
          <w:rFonts w:ascii="Arial" w:hAnsi="Arial" w:cs="Arial"/>
          <w:sz w:val="12"/>
          <w:szCs w:val="12"/>
        </w:rPr>
        <w:t>.</w:t>
      </w:r>
    </w:p>
  </w:endnote>
  <w:endnote w:id="21">
    <w:p w14:paraId="7B618689" w14:textId="7DF84315" w:rsidR="00354AF5" w:rsidRDefault="00354AF5" w:rsidP="00CD2C6A">
      <w:pPr>
        <w:pStyle w:val="EndnoteText"/>
        <w:tabs>
          <w:tab w:val="left" w:pos="180"/>
        </w:tabs>
        <w:rPr>
          <w:rFonts w:ascii="Arial" w:hAnsi="Arial" w:cs="Arial"/>
          <w:sz w:val="12"/>
          <w:szCs w:val="12"/>
        </w:rPr>
      </w:pPr>
      <w:r w:rsidRPr="0085135C">
        <w:rPr>
          <w:rStyle w:val="EndnoteReference"/>
          <w:rFonts w:ascii="Arial" w:hAnsi="Arial" w:cs="Arial"/>
          <w:sz w:val="12"/>
          <w:szCs w:val="12"/>
        </w:rPr>
        <w:endnoteRef/>
      </w:r>
      <w:r w:rsidRPr="0085135C">
        <w:rPr>
          <w:rFonts w:ascii="Arial" w:hAnsi="Arial" w:cs="Arial"/>
          <w:sz w:val="12"/>
          <w:szCs w:val="12"/>
        </w:rPr>
        <w:tab/>
      </w:r>
      <w:r>
        <w:rPr>
          <w:rFonts w:ascii="Arial" w:hAnsi="Arial" w:cs="Arial"/>
          <w:sz w:val="12"/>
          <w:szCs w:val="12"/>
        </w:rPr>
        <w:t xml:space="preserve">Imipenem, IV: </w:t>
      </w:r>
      <w:r w:rsidRPr="006230B6">
        <w:rPr>
          <w:rFonts w:ascii="Arial" w:hAnsi="Arial" w:cs="Arial"/>
          <w:sz w:val="12"/>
          <w:szCs w:val="12"/>
        </w:rPr>
        <w:t>South African Medicines Formulary.  1</w:t>
      </w:r>
      <w:r>
        <w:rPr>
          <w:rFonts w:ascii="Arial" w:hAnsi="Arial" w:cs="Arial"/>
          <w:sz w:val="12"/>
          <w:szCs w:val="12"/>
        </w:rPr>
        <w:t>4</w:t>
      </w:r>
      <w:r w:rsidRPr="006230B6">
        <w:rPr>
          <w:rFonts w:ascii="Arial" w:hAnsi="Arial" w:cs="Arial"/>
          <w:sz w:val="12"/>
          <w:szCs w:val="12"/>
        </w:rPr>
        <w:t>th Edition.  Division of Clinical Pharmacology.  University of Cape Town. 20</w:t>
      </w:r>
      <w:r>
        <w:rPr>
          <w:rFonts w:ascii="Arial" w:hAnsi="Arial" w:cs="Arial"/>
          <w:sz w:val="12"/>
          <w:szCs w:val="12"/>
        </w:rPr>
        <w:t>22</w:t>
      </w:r>
      <w:r w:rsidRPr="006230B6">
        <w:rPr>
          <w:rFonts w:ascii="Arial" w:hAnsi="Arial" w:cs="Arial"/>
          <w:sz w:val="12"/>
          <w:szCs w:val="12"/>
        </w:rPr>
        <w:t>.</w:t>
      </w:r>
    </w:p>
    <w:p w14:paraId="483856A8" w14:textId="32FEFF45" w:rsidR="00354AF5" w:rsidRPr="00C94625" w:rsidRDefault="00354AF5" w:rsidP="00CD2C6A">
      <w:pPr>
        <w:pStyle w:val="EndnoteText"/>
        <w:tabs>
          <w:tab w:val="left" w:pos="180"/>
        </w:tabs>
        <w:rPr>
          <w:rFonts w:ascii="Arial" w:hAnsi="Arial" w:cs="Arial"/>
          <w:sz w:val="12"/>
          <w:szCs w:val="12"/>
        </w:rPr>
      </w:pPr>
      <w:r>
        <w:rPr>
          <w:rFonts w:ascii="Arial" w:hAnsi="Arial" w:cs="Arial"/>
          <w:sz w:val="12"/>
          <w:szCs w:val="12"/>
        </w:rPr>
        <w:t xml:space="preserve">Imipenem, IV: </w:t>
      </w:r>
      <w:r w:rsidRPr="006230B6">
        <w:rPr>
          <w:rFonts w:ascii="Arial" w:hAnsi="Arial" w:cs="Arial"/>
          <w:sz w:val="12"/>
          <w:szCs w:val="12"/>
        </w:rPr>
        <w:t>NICD AMR surveillance for ESKAPE, 1 January 2016 to 31 December 2016.</w:t>
      </w:r>
    </w:p>
  </w:endnote>
  <w:endnote w:id="22">
    <w:p w14:paraId="754E265F" w14:textId="7D937C82" w:rsidR="00354AF5" w:rsidRPr="00C94625" w:rsidRDefault="00354AF5" w:rsidP="00CD2C6A">
      <w:pPr>
        <w:pStyle w:val="EndnoteText"/>
        <w:tabs>
          <w:tab w:val="left" w:pos="180"/>
        </w:tabs>
        <w:rPr>
          <w:rFonts w:ascii="Arial" w:hAnsi="Arial" w:cs="Arial"/>
          <w:sz w:val="12"/>
          <w:szCs w:val="12"/>
        </w:rPr>
      </w:pPr>
      <w:r w:rsidRPr="0085135C">
        <w:rPr>
          <w:rStyle w:val="EndnoteReference"/>
          <w:rFonts w:ascii="Arial" w:hAnsi="Arial" w:cs="Arial"/>
          <w:sz w:val="12"/>
          <w:szCs w:val="12"/>
        </w:rPr>
        <w:endnoteRef/>
      </w:r>
      <w:r w:rsidRPr="0085135C">
        <w:rPr>
          <w:rFonts w:ascii="Arial" w:hAnsi="Arial" w:cs="Arial"/>
          <w:sz w:val="12"/>
          <w:szCs w:val="12"/>
        </w:rPr>
        <w:tab/>
      </w:r>
      <w:r>
        <w:rPr>
          <w:rFonts w:ascii="Arial" w:hAnsi="Arial" w:cs="Arial"/>
          <w:sz w:val="12"/>
          <w:szCs w:val="12"/>
        </w:rPr>
        <w:t xml:space="preserve">Ciprofloxacin, oral: </w:t>
      </w:r>
      <w:r w:rsidRPr="00CD2C6A">
        <w:rPr>
          <w:rFonts w:ascii="Arial" w:hAnsi="Arial" w:cs="Arial"/>
          <w:sz w:val="12"/>
          <w:szCs w:val="12"/>
        </w:rPr>
        <w:t>NHLS/NICD Communicable Diseases Surveillance Bulletin, April 2015 (Volume 13. No 1).</w:t>
      </w:r>
      <w:r>
        <w:rPr>
          <w:rFonts w:ascii="Arial" w:hAnsi="Arial" w:cs="Arial"/>
          <w:sz w:val="12"/>
          <w:szCs w:val="12"/>
        </w:rPr>
        <w:t xml:space="preserve"> </w:t>
      </w:r>
      <w:hyperlink r:id="rId35" w:history="1">
        <w:r w:rsidRPr="00126047">
          <w:rPr>
            <w:rStyle w:val="Hyperlink"/>
            <w:rFonts w:ascii="Arial" w:hAnsi="Arial" w:cs="Arial"/>
            <w:sz w:val="12"/>
            <w:szCs w:val="12"/>
          </w:rPr>
          <w:t>http://www.nicd.ac.za/</w:t>
        </w:r>
      </w:hyperlink>
    </w:p>
  </w:endnote>
  <w:endnote w:id="23">
    <w:p w14:paraId="34614CE3" w14:textId="77777777" w:rsidR="00354AF5" w:rsidRPr="00C94625" w:rsidRDefault="00354AF5" w:rsidP="00CD2C6A">
      <w:pPr>
        <w:pStyle w:val="EndnoteText"/>
        <w:tabs>
          <w:tab w:val="left" w:pos="180"/>
        </w:tabs>
        <w:rPr>
          <w:rFonts w:ascii="Arial" w:hAnsi="Arial" w:cs="Arial"/>
          <w:sz w:val="12"/>
          <w:szCs w:val="12"/>
        </w:rPr>
      </w:pPr>
      <w:r w:rsidRPr="0085135C">
        <w:rPr>
          <w:rStyle w:val="EndnoteReference"/>
          <w:rFonts w:ascii="Arial" w:hAnsi="Arial" w:cs="Arial"/>
          <w:sz w:val="12"/>
          <w:szCs w:val="12"/>
        </w:rPr>
        <w:endnoteRef/>
      </w:r>
      <w:r w:rsidRPr="0085135C">
        <w:rPr>
          <w:rFonts w:ascii="Arial" w:hAnsi="Arial" w:cs="Arial"/>
          <w:sz w:val="12"/>
          <w:szCs w:val="12"/>
        </w:rPr>
        <w:tab/>
      </w:r>
      <w:r>
        <w:rPr>
          <w:rFonts w:ascii="Arial" w:hAnsi="Arial" w:cs="Arial"/>
          <w:sz w:val="12"/>
          <w:szCs w:val="12"/>
        </w:rPr>
        <w:t xml:space="preserve">Pneumococcal vaccine (23 valent polysaccharide): ACIP Practice Guidelines - </w:t>
      </w:r>
      <w:r w:rsidRPr="00233CBF">
        <w:rPr>
          <w:rFonts w:ascii="Arial" w:hAnsi="Arial" w:cs="Arial"/>
          <w:sz w:val="12"/>
          <w:szCs w:val="12"/>
        </w:rPr>
        <w:t>CDC. Morbidity and Mortality Weekly Report, October 12, 2012, Vol 61, No 40.</w:t>
      </w:r>
      <w:hyperlink r:id="rId36" w:history="1">
        <w:r w:rsidRPr="00126047">
          <w:rPr>
            <w:rStyle w:val="Hyperlink"/>
            <w:rFonts w:ascii="Arial" w:hAnsi="Arial" w:cs="Arial"/>
            <w:sz w:val="12"/>
            <w:szCs w:val="12"/>
          </w:rPr>
          <w:t>http://www.cdc.gov/mmwr/preview/mmwrhtml/mm6140a4.htm?s_cid=mm6140a4_w</w:t>
        </w:r>
      </w:hyperlink>
    </w:p>
  </w:endnote>
  <w:endnote w:id="24">
    <w:p w14:paraId="13CF82D9" w14:textId="430CB109" w:rsidR="00354AF5" w:rsidRPr="00C94625" w:rsidRDefault="00354AF5" w:rsidP="00B55B85">
      <w:pPr>
        <w:pStyle w:val="EndnoteText"/>
        <w:tabs>
          <w:tab w:val="left" w:pos="180"/>
        </w:tabs>
        <w:rPr>
          <w:rFonts w:ascii="Arial" w:hAnsi="Arial" w:cs="Arial"/>
          <w:sz w:val="12"/>
          <w:szCs w:val="12"/>
        </w:rPr>
      </w:pPr>
      <w:r w:rsidRPr="0085135C">
        <w:rPr>
          <w:rStyle w:val="EndnoteReference"/>
          <w:rFonts w:ascii="Arial" w:hAnsi="Arial" w:cs="Arial"/>
          <w:sz w:val="12"/>
          <w:szCs w:val="12"/>
        </w:rPr>
        <w:endnoteRef/>
      </w:r>
      <w:r w:rsidRPr="0085135C">
        <w:rPr>
          <w:rFonts w:ascii="Arial" w:hAnsi="Arial" w:cs="Arial"/>
          <w:sz w:val="12"/>
          <w:szCs w:val="12"/>
        </w:rPr>
        <w:tab/>
      </w:r>
      <w:r>
        <w:rPr>
          <w:rFonts w:ascii="Arial" w:hAnsi="Arial" w:cs="Arial"/>
          <w:sz w:val="12"/>
          <w:szCs w:val="12"/>
        </w:rPr>
        <w:t xml:space="preserve">Gentamicin: </w:t>
      </w:r>
      <w:r w:rsidRPr="00C854C7">
        <w:rPr>
          <w:rFonts w:ascii="Arial" w:hAnsi="Arial" w:cs="Arial"/>
          <w:sz w:val="12"/>
          <w:szCs w:val="12"/>
        </w:rPr>
        <w:t>South African Medicines Formulary.  1</w:t>
      </w:r>
      <w:r>
        <w:rPr>
          <w:rFonts w:ascii="Arial" w:hAnsi="Arial" w:cs="Arial"/>
          <w:sz w:val="12"/>
          <w:szCs w:val="12"/>
        </w:rPr>
        <w:t>4</w:t>
      </w:r>
      <w:r w:rsidRPr="00C854C7">
        <w:rPr>
          <w:rFonts w:ascii="Arial" w:hAnsi="Arial" w:cs="Arial"/>
          <w:sz w:val="12"/>
          <w:szCs w:val="12"/>
        </w:rPr>
        <w:t>th Edition.  Division of Clinical Pharmacology.  University of Cape Town. 20</w:t>
      </w:r>
      <w:r>
        <w:rPr>
          <w:rFonts w:ascii="Arial" w:hAnsi="Arial" w:cs="Arial"/>
          <w:sz w:val="12"/>
          <w:szCs w:val="12"/>
        </w:rPr>
        <w:t>22.</w:t>
      </w:r>
    </w:p>
  </w:endnote>
  <w:endnote w:id="25">
    <w:p w14:paraId="52E02415" w14:textId="77777777" w:rsidR="00354AF5" w:rsidRPr="00C94625" w:rsidRDefault="00354AF5" w:rsidP="00D2536C">
      <w:pPr>
        <w:pStyle w:val="EndnoteText"/>
        <w:tabs>
          <w:tab w:val="left" w:pos="180"/>
        </w:tabs>
        <w:rPr>
          <w:rFonts w:ascii="Arial" w:hAnsi="Arial" w:cs="Arial"/>
          <w:sz w:val="12"/>
          <w:szCs w:val="12"/>
        </w:rPr>
      </w:pPr>
      <w:r w:rsidRPr="0085135C">
        <w:rPr>
          <w:rStyle w:val="EndnoteReference"/>
          <w:rFonts w:ascii="Arial" w:hAnsi="Arial" w:cs="Arial"/>
          <w:sz w:val="12"/>
          <w:szCs w:val="12"/>
        </w:rPr>
        <w:endnoteRef/>
      </w:r>
      <w:r w:rsidRPr="0085135C">
        <w:rPr>
          <w:rFonts w:ascii="Arial" w:hAnsi="Arial" w:cs="Arial"/>
          <w:sz w:val="12"/>
          <w:szCs w:val="12"/>
        </w:rPr>
        <w:tab/>
      </w:r>
      <w:r>
        <w:rPr>
          <w:rFonts w:ascii="Arial" w:hAnsi="Arial" w:cs="Arial"/>
          <w:sz w:val="12"/>
          <w:szCs w:val="12"/>
        </w:rPr>
        <w:t xml:space="preserve">Albendazole: </w:t>
      </w:r>
      <w:r w:rsidRPr="00507AAD">
        <w:rPr>
          <w:rFonts w:ascii="Arial" w:hAnsi="Arial" w:cs="Arial"/>
          <w:sz w:val="12"/>
          <w:szCs w:val="12"/>
        </w:rPr>
        <w:t>Rigter IM, Schipper HG, Koopmans RP, van Kan HJ, Frijlink HW, Kager PA, Guchelaar HJ. Relative bioavailability of three newly developed albendazole formulations: a randomized crossover study with healthy volunteers. Antimicrob Agents Chemother. 2004 Mar;48(3):1051-4.</w:t>
      </w:r>
      <w:hyperlink r:id="rId37" w:history="1">
        <w:r w:rsidRPr="00126047">
          <w:rPr>
            <w:rStyle w:val="Hyperlink"/>
            <w:rFonts w:ascii="Arial" w:hAnsi="Arial" w:cs="Arial"/>
            <w:sz w:val="12"/>
            <w:szCs w:val="12"/>
          </w:rPr>
          <w:t>http://www.ncbi.nlm.nih.gov/pubmed/14982808</w:t>
        </w:r>
      </w:hyperlink>
    </w:p>
  </w:endnote>
  <w:endnote w:id="26">
    <w:p w14:paraId="200BACDB" w14:textId="77777777" w:rsidR="00354AF5" w:rsidRPr="00C94625" w:rsidRDefault="00354AF5" w:rsidP="00D2536C">
      <w:pPr>
        <w:pStyle w:val="EndnoteText"/>
        <w:tabs>
          <w:tab w:val="left" w:pos="180"/>
        </w:tabs>
        <w:rPr>
          <w:rFonts w:ascii="Arial" w:hAnsi="Arial" w:cs="Arial"/>
          <w:sz w:val="12"/>
          <w:szCs w:val="12"/>
        </w:rPr>
      </w:pPr>
      <w:r w:rsidRPr="0085135C">
        <w:rPr>
          <w:rStyle w:val="EndnoteReference"/>
          <w:rFonts w:ascii="Arial" w:hAnsi="Arial" w:cs="Arial"/>
          <w:sz w:val="12"/>
          <w:szCs w:val="12"/>
        </w:rPr>
        <w:endnoteRef/>
      </w:r>
      <w:r w:rsidRPr="0085135C">
        <w:rPr>
          <w:rFonts w:ascii="Arial" w:hAnsi="Arial" w:cs="Arial"/>
          <w:sz w:val="12"/>
          <w:szCs w:val="12"/>
        </w:rPr>
        <w:tab/>
      </w:r>
      <w:r>
        <w:rPr>
          <w:rFonts w:ascii="Arial" w:hAnsi="Arial" w:cs="Arial"/>
          <w:sz w:val="12"/>
          <w:szCs w:val="12"/>
        </w:rPr>
        <w:t xml:space="preserve">Albendazole plus PAIR surgery: </w:t>
      </w:r>
      <w:r w:rsidRPr="00507AAD">
        <w:rPr>
          <w:rFonts w:ascii="Arial" w:hAnsi="Arial" w:cs="Arial"/>
          <w:sz w:val="12"/>
          <w:szCs w:val="12"/>
        </w:rPr>
        <w:t xml:space="preserve">Smego RA Jr, Bhatti S, Khaliq AA, Beg MA. Percutaneous aspiration-injection-reaspiration drainage plus albendazole or mebendazole for hepatic cystic echinococcosis: a meta-analysis. Clin Infect Dis. 2003 Oct 15;37(8):1073-83. </w:t>
      </w:r>
      <w:hyperlink r:id="rId38" w:history="1">
        <w:r w:rsidRPr="00530481">
          <w:rPr>
            <w:rStyle w:val="Hyperlink"/>
            <w:rFonts w:ascii="Arial" w:hAnsi="Arial" w:cs="Arial"/>
            <w:sz w:val="12"/>
            <w:szCs w:val="12"/>
          </w:rPr>
          <w:t>http://www.ncbi.nlm.nih.gov/pubmed/14523772</w:t>
        </w:r>
      </w:hyperlink>
    </w:p>
  </w:endnote>
  <w:endnote w:id="27">
    <w:p w14:paraId="3F0D463D" w14:textId="77777777" w:rsidR="00354AF5" w:rsidRPr="00C94625" w:rsidRDefault="00354AF5" w:rsidP="00FE5598">
      <w:pPr>
        <w:pStyle w:val="EndnoteText"/>
        <w:tabs>
          <w:tab w:val="left" w:pos="180"/>
        </w:tabs>
        <w:rPr>
          <w:rFonts w:ascii="Arial" w:hAnsi="Arial" w:cs="Arial"/>
          <w:sz w:val="12"/>
          <w:szCs w:val="12"/>
        </w:rPr>
      </w:pPr>
      <w:r w:rsidRPr="0085135C">
        <w:rPr>
          <w:rStyle w:val="EndnoteReference"/>
          <w:rFonts w:ascii="Arial" w:hAnsi="Arial" w:cs="Arial"/>
          <w:sz w:val="12"/>
          <w:szCs w:val="12"/>
        </w:rPr>
        <w:endnoteRef/>
      </w:r>
      <w:r w:rsidRPr="0085135C">
        <w:rPr>
          <w:rFonts w:ascii="Arial" w:hAnsi="Arial" w:cs="Arial"/>
          <w:sz w:val="12"/>
          <w:szCs w:val="12"/>
        </w:rPr>
        <w:tab/>
      </w:r>
      <w:r>
        <w:rPr>
          <w:rFonts w:ascii="Arial" w:hAnsi="Arial" w:cs="Arial"/>
          <w:sz w:val="12"/>
          <w:szCs w:val="12"/>
        </w:rPr>
        <w:t xml:space="preserve">Artesunate, IV: </w:t>
      </w:r>
      <w:r w:rsidRPr="00FE5598">
        <w:rPr>
          <w:rFonts w:ascii="Arial" w:hAnsi="Arial" w:cs="Arial"/>
          <w:sz w:val="12"/>
          <w:szCs w:val="12"/>
        </w:rPr>
        <w:t>Artesunate, parenteral: Sinclair D, Donegan S, Isba R, Lalloo DG. Artesunate versus quinine for treating severe malaria. Cochrane Database Syst Rev. 2012 Jun 13;6:CD005967.</w:t>
      </w:r>
      <w:hyperlink r:id="rId39" w:history="1">
        <w:r w:rsidRPr="00530481">
          <w:rPr>
            <w:rStyle w:val="Hyperlink"/>
            <w:rFonts w:ascii="Arial" w:hAnsi="Arial" w:cs="Arial"/>
            <w:sz w:val="12"/>
            <w:szCs w:val="12"/>
          </w:rPr>
          <w:t>http://www.ncbi.nlm.nih.gov/pubmed/22696354</w:t>
        </w:r>
      </w:hyperlink>
    </w:p>
  </w:endnote>
  <w:endnote w:id="28">
    <w:p w14:paraId="7B4C7297" w14:textId="77777777" w:rsidR="00354AF5" w:rsidRPr="00CD397D" w:rsidRDefault="00354AF5" w:rsidP="002F448A">
      <w:pPr>
        <w:pStyle w:val="EndnoteText"/>
        <w:tabs>
          <w:tab w:val="left" w:pos="180"/>
        </w:tabs>
        <w:rPr>
          <w:rFonts w:ascii="Arial" w:hAnsi="Arial" w:cs="Arial"/>
          <w:sz w:val="12"/>
          <w:szCs w:val="12"/>
        </w:rPr>
      </w:pPr>
      <w:r w:rsidRPr="00CD397D">
        <w:rPr>
          <w:rStyle w:val="EndnoteReference"/>
          <w:rFonts w:ascii="Arial" w:hAnsi="Arial" w:cs="Arial"/>
          <w:sz w:val="12"/>
          <w:szCs w:val="12"/>
        </w:rPr>
        <w:endnoteRef/>
      </w:r>
      <w:r w:rsidRPr="00CD397D">
        <w:rPr>
          <w:rFonts w:ascii="Arial" w:hAnsi="Arial" w:cs="Arial"/>
          <w:sz w:val="12"/>
          <w:szCs w:val="12"/>
        </w:rPr>
        <w:tab/>
        <w:t xml:space="preserve">Prednisone, oral: Grandière-Pérez L, Ansart S, Paris L, Faussart A, Jaureguiberry S, Grivois JP,Klement E, Bricaire F, Danis M, Caumes E. Efficacy of praziquantel during the incubation and invasive phase of Schistosoma haematobium schistosomiasis in 18 travelers. Am J Trop Med Hyg. 2006 May;74(5):814-8. </w:t>
      </w:r>
      <w:hyperlink r:id="rId40" w:history="1">
        <w:r w:rsidRPr="00CD397D">
          <w:rPr>
            <w:rStyle w:val="Hyperlink"/>
            <w:rFonts w:ascii="Arial" w:hAnsi="Arial" w:cs="Arial"/>
            <w:sz w:val="12"/>
            <w:szCs w:val="12"/>
          </w:rPr>
          <w:t>https://www.ncbi.nlm.nih.gov/pubmed/16687686</w:t>
        </w:r>
      </w:hyperlink>
    </w:p>
  </w:endnote>
  <w:endnote w:id="29">
    <w:p w14:paraId="3ED5024B" w14:textId="77777777" w:rsidR="00354AF5" w:rsidRPr="00CD397D" w:rsidRDefault="00354AF5" w:rsidP="002F448A">
      <w:pPr>
        <w:pStyle w:val="EndnoteText"/>
        <w:tabs>
          <w:tab w:val="left" w:pos="180"/>
        </w:tabs>
        <w:rPr>
          <w:rFonts w:ascii="Arial" w:hAnsi="Arial" w:cs="Arial"/>
          <w:sz w:val="12"/>
          <w:szCs w:val="12"/>
        </w:rPr>
      </w:pPr>
      <w:r w:rsidRPr="00CD397D">
        <w:rPr>
          <w:rStyle w:val="EndnoteReference"/>
          <w:rFonts w:ascii="Arial" w:hAnsi="Arial" w:cs="Arial"/>
          <w:sz w:val="12"/>
          <w:szCs w:val="12"/>
        </w:rPr>
        <w:endnoteRef/>
      </w:r>
      <w:r w:rsidRPr="00CD397D">
        <w:rPr>
          <w:rFonts w:ascii="Arial" w:hAnsi="Arial" w:cs="Arial"/>
          <w:sz w:val="12"/>
          <w:szCs w:val="12"/>
        </w:rPr>
        <w:tab/>
        <w:t xml:space="preserve">Praziquantel, oral: Grandière-Pérez L, Ansart S, Paris L, Faussart A, Jaureguiberry S, Grivois JP,Klement E, Bricaire F, Danis M, Caumes E. Efficacy of praziquantel during the incubation and invasive phase of Schistosoma haematobium schistosomiasis in 18 travelers. Am J Trop Med Hyg. 2006 May;74(5):814-8. </w:t>
      </w:r>
      <w:hyperlink r:id="rId41" w:history="1">
        <w:r w:rsidRPr="00CD397D">
          <w:rPr>
            <w:rStyle w:val="Hyperlink"/>
            <w:rFonts w:ascii="Arial" w:hAnsi="Arial" w:cs="Arial"/>
            <w:sz w:val="12"/>
            <w:szCs w:val="12"/>
          </w:rPr>
          <w:t>https://www.ncbi.nlm.nih.gov/pubmed/16687686</w:t>
        </w:r>
      </w:hyperlink>
    </w:p>
  </w:endnote>
  <w:endnote w:id="30">
    <w:p w14:paraId="0CC5BF68" w14:textId="77777777" w:rsidR="00354AF5" w:rsidRPr="00C94625" w:rsidRDefault="00354AF5" w:rsidP="002F448A">
      <w:pPr>
        <w:pStyle w:val="EndnoteText"/>
        <w:tabs>
          <w:tab w:val="left" w:pos="180"/>
        </w:tabs>
        <w:rPr>
          <w:rFonts w:ascii="Arial" w:hAnsi="Arial" w:cs="Arial"/>
          <w:sz w:val="12"/>
          <w:szCs w:val="12"/>
        </w:rPr>
      </w:pPr>
      <w:r w:rsidRPr="00CD397D">
        <w:rPr>
          <w:rStyle w:val="EndnoteReference"/>
          <w:rFonts w:ascii="Arial" w:hAnsi="Arial" w:cs="Arial"/>
          <w:sz w:val="12"/>
          <w:szCs w:val="12"/>
        </w:rPr>
        <w:endnoteRef/>
      </w:r>
      <w:r w:rsidRPr="00CD397D">
        <w:rPr>
          <w:rFonts w:ascii="Arial" w:hAnsi="Arial" w:cs="Arial"/>
          <w:sz w:val="12"/>
          <w:szCs w:val="12"/>
        </w:rPr>
        <w:tab/>
        <w:t>Praziquantel, oral (repeat dose):</w:t>
      </w:r>
      <w:r>
        <w:rPr>
          <w:rFonts w:ascii="Arial" w:hAnsi="Arial" w:cs="Arial"/>
          <w:sz w:val="12"/>
          <w:szCs w:val="12"/>
        </w:rPr>
        <w:t xml:space="preserve"> </w:t>
      </w:r>
      <w:r w:rsidRPr="00CD397D">
        <w:rPr>
          <w:rFonts w:ascii="Arial" w:hAnsi="Arial" w:cs="Arial"/>
          <w:sz w:val="12"/>
          <w:szCs w:val="12"/>
        </w:rPr>
        <w:t xml:space="preserve">Grandière-Pérez L, Ansart S, Paris L, Faussart A, Jaureguiberry S, Grivois JP,Klement E, Bricaire F, Danis M, Caumes E. Efficacy of praziquantel during the incubation and invasive phase of Schistosoma haematobium schistosomiasis in 18 travelers. Am J Trop Med Hyg. 2006 May;74(5):814-8. </w:t>
      </w:r>
      <w:hyperlink r:id="rId42" w:history="1">
        <w:r w:rsidRPr="00CD397D">
          <w:rPr>
            <w:rStyle w:val="Hyperlink"/>
            <w:rFonts w:ascii="Arial" w:hAnsi="Arial" w:cs="Arial"/>
            <w:sz w:val="12"/>
            <w:szCs w:val="12"/>
          </w:rPr>
          <w:t>https://www.ncbi.nlm.nih.gov/pubmed/16687686</w:t>
        </w:r>
      </w:hyperlink>
    </w:p>
  </w:endnote>
  <w:endnote w:id="31">
    <w:p w14:paraId="194CA930" w14:textId="7629E452" w:rsidR="00354AF5" w:rsidRPr="00FE5598" w:rsidRDefault="00354AF5" w:rsidP="00967BD8">
      <w:pPr>
        <w:pStyle w:val="EndnoteText"/>
        <w:tabs>
          <w:tab w:val="left" w:pos="180"/>
        </w:tabs>
        <w:rPr>
          <w:rFonts w:ascii="Arial" w:hAnsi="Arial" w:cs="Arial"/>
          <w:sz w:val="12"/>
          <w:szCs w:val="12"/>
        </w:rPr>
      </w:pPr>
      <w:r w:rsidRPr="0085135C">
        <w:rPr>
          <w:rStyle w:val="EndnoteReference"/>
          <w:rFonts w:ascii="Arial" w:hAnsi="Arial" w:cs="Arial"/>
          <w:sz w:val="12"/>
          <w:szCs w:val="12"/>
        </w:rPr>
        <w:endnoteRef/>
      </w:r>
      <w:r w:rsidRPr="0085135C">
        <w:rPr>
          <w:rFonts w:ascii="Arial" w:hAnsi="Arial" w:cs="Arial"/>
          <w:sz w:val="12"/>
          <w:szCs w:val="12"/>
        </w:rPr>
        <w:tab/>
      </w:r>
      <w:r>
        <w:rPr>
          <w:rFonts w:ascii="Arial" w:hAnsi="Arial" w:cs="Arial"/>
          <w:sz w:val="12"/>
          <w:szCs w:val="12"/>
        </w:rPr>
        <w:t xml:space="preserve">Diazepam, IV: </w:t>
      </w:r>
      <w:r w:rsidRPr="00FE5598">
        <w:rPr>
          <w:rFonts w:ascii="Arial" w:hAnsi="Arial" w:cs="Arial"/>
          <w:sz w:val="12"/>
          <w:szCs w:val="12"/>
        </w:rPr>
        <w:t>Vassa NT, Doshi HV, Yajnik VH, Shah SS, Joshi KR, Patel SH. Comparative clinical trial of diazepam with other conventional drugs in tetanus. Postgrad Med J. 1974 Dec;50(590):755-8.</w:t>
      </w:r>
      <w:hyperlink r:id="rId43" w:history="1">
        <w:r w:rsidRPr="00126047">
          <w:rPr>
            <w:rStyle w:val="Hyperlink"/>
            <w:rFonts w:ascii="Arial" w:hAnsi="Arial" w:cs="Arial"/>
            <w:sz w:val="12"/>
            <w:szCs w:val="12"/>
          </w:rPr>
          <w:t>http://www.ncbi.nlm.nih.gov/pubmed/4619836</w:t>
        </w:r>
      </w:hyperlink>
    </w:p>
    <w:p w14:paraId="2D0356F4" w14:textId="4EA128A6" w:rsidR="00354AF5" w:rsidRPr="00C94625" w:rsidRDefault="00354AF5" w:rsidP="00967BD8">
      <w:pPr>
        <w:pStyle w:val="EndnoteText"/>
        <w:tabs>
          <w:tab w:val="left" w:pos="180"/>
        </w:tabs>
        <w:rPr>
          <w:rFonts w:ascii="Arial" w:hAnsi="Arial" w:cs="Arial"/>
          <w:sz w:val="12"/>
          <w:szCs w:val="12"/>
        </w:rPr>
      </w:pPr>
      <w:r>
        <w:rPr>
          <w:rFonts w:ascii="Arial" w:hAnsi="Arial" w:cs="Arial"/>
          <w:sz w:val="12"/>
          <w:szCs w:val="12"/>
        </w:rPr>
        <w:tab/>
        <w:t xml:space="preserve">Diazepam, IV: </w:t>
      </w:r>
      <w:r w:rsidRPr="00FE5598">
        <w:rPr>
          <w:rFonts w:ascii="Arial" w:hAnsi="Arial" w:cs="Arial"/>
          <w:sz w:val="12"/>
          <w:szCs w:val="12"/>
        </w:rPr>
        <w:t>Wilson KC, Reardon C, Theodore AC, Farber HW. Propylene glycol toxicity: a severe iatrogenic illness in ICU patients receiving IV benzodiazepines: a case series and prospective, observational pilot study. Chest. 2005 Sep;128(3):1674-81.</w:t>
      </w:r>
      <w:hyperlink r:id="rId44" w:history="1">
        <w:r w:rsidRPr="00126047">
          <w:rPr>
            <w:rStyle w:val="Hyperlink"/>
            <w:rFonts w:ascii="Arial" w:hAnsi="Arial" w:cs="Arial"/>
            <w:sz w:val="12"/>
            <w:szCs w:val="12"/>
          </w:rPr>
          <w:t>http://www.ncbi.nlm.nih.gov/pubmed/16162774</w:t>
        </w:r>
      </w:hyperlink>
    </w:p>
  </w:endnote>
  <w:endnote w:id="32">
    <w:p w14:paraId="531F740C" w14:textId="75841086" w:rsidR="00354AF5" w:rsidRPr="00C94625" w:rsidRDefault="00354AF5" w:rsidP="00BC502A">
      <w:pPr>
        <w:pStyle w:val="EndnoteText"/>
        <w:tabs>
          <w:tab w:val="left" w:pos="180"/>
        </w:tabs>
        <w:rPr>
          <w:rFonts w:ascii="Arial" w:hAnsi="Arial" w:cs="Arial"/>
          <w:sz w:val="12"/>
          <w:szCs w:val="12"/>
        </w:rPr>
      </w:pPr>
      <w:r w:rsidRPr="0085135C">
        <w:rPr>
          <w:rStyle w:val="EndnoteReference"/>
          <w:rFonts w:ascii="Arial" w:hAnsi="Arial" w:cs="Arial"/>
          <w:sz w:val="12"/>
          <w:szCs w:val="12"/>
        </w:rPr>
        <w:endnoteRef/>
      </w:r>
      <w:r w:rsidRPr="0085135C">
        <w:rPr>
          <w:rFonts w:ascii="Arial" w:hAnsi="Arial" w:cs="Arial"/>
          <w:sz w:val="12"/>
          <w:szCs w:val="12"/>
        </w:rPr>
        <w:tab/>
      </w:r>
      <w:r>
        <w:rPr>
          <w:rFonts w:ascii="Arial" w:hAnsi="Arial" w:cs="Arial"/>
          <w:sz w:val="12"/>
          <w:szCs w:val="12"/>
        </w:rPr>
        <w:t xml:space="preserve">Metronidazole, IV: </w:t>
      </w:r>
      <w:r w:rsidRPr="00BC502A">
        <w:rPr>
          <w:rFonts w:ascii="Arial" w:hAnsi="Arial" w:cs="Arial"/>
          <w:sz w:val="12"/>
          <w:szCs w:val="12"/>
        </w:rPr>
        <w:t xml:space="preserve">World Health Organisation. Technical note: Current recommendations for treatment of tetanus during humanitarian emergencies, January 2010. </w:t>
      </w:r>
      <w:hyperlink r:id="rId45" w:history="1">
        <w:r w:rsidRPr="00A03EC8">
          <w:rPr>
            <w:rStyle w:val="Hyperlink"/>
            <w:rFonts w:ascii="Arial" w:hAnsi="Arial" w:cs="Arial"/>
            <w:sz w:val="12"/>
            <w:szCs w:val="12"/>
          </w:rPr>
          <w:t>https://www.who.int/diseasecontrol_emergencies/who_hse_gar_dce_2010_en.pdf</w:t>
        </w:r>
      </w:hyperlink>
      <w:r>
        <w:rPr>
          <w:rFonts w:ascii="Arial" w:hAnsi="Arial" w:cs="Arial"/>
          <w:sz w:val="12"/>
          <w:szCs w:val="12"/>
        </w:rPr>
        <w:t xml:space="preserve"> </w:t>
      </w:r>
    </w:p>
  </w:endnote>
  <w:endnote w:id="33">
    <w:p w14:paraId="742B912D" w14:textId="77777777" w:rsidR="00354AF5" w:rsidRPr="00C94625" w:rsidRDefault="00354AF5" w:rsidP="002311E0">
      <w:pPr>
        <w:pStyle w:val="EndnoteText"/>
        <w:tabs>
          <w:tab w:val="left" w:pos="180"/>
        </w:tabs>
        <w:rPr>
          <w:rFonts w:ascii="Arial" w:hAnsi="Arial" w:cs="Arial"/>
          <w:sz w:val="12"/>
          <w:szCs w:val="12"/>
        </w:rPr>
      </w:pPr>
      <w:r w:rsidRPr="0085135C">
        <w:rPr>
          <w:rStyle w:val="EndnoteReference"/>
          <w:rFonts w:ascii="Arial" w:hAnsi="Arial" w:cs="Arial"/>
          <w:sz w:val="12"/>
          <w:szCs w:val="12"/>
        </w:rPr>
        <w:endnoteRef/>
      </w:r>
      <w:r w:rsidRPr="0085135C">
        <w:rPr>
          <w:rFonts w:ascii="Arial" w:hAnsi="Arial" w:cs="Arial"/>
          <w:sz w:val="12"/>
          <w:szCs w:val="12"/>
        </w:rPr>
        <w:tab/>
      </w:r>
      <w:r>
        <w:rPr>
          <w:rFonts w:ascii="Arial" w:hAnsi="Arial" w:cs="Arial"/>
          <w:sz w:val="12"/>
          <w:szCs w:val="12"/>
        </w:rPr>
        <w:t xml:space="preserve">Paracetamol (fever in tetanus): </w:t>
      </w:r>
      <w:r w:rsidRPr="002311E0">
        <w:rPr>
          <w:rFonts w:ascii="Arial" w:hAnsi="Arial" w:cs="Arial"/>
          <w:sz w:val="12"/>
          <w:szCs w:val="12"/>
        </w:rPr>
        <w:t>Lee BH, Inui D, Suh GY, Kim JY, Kwon JY, Park J,</w:t>
      </w:r>
      <w:r>
        <w:rPr>
          <w:rFonts w:ascii="Arial" w:hAnsi="Arial" w:cs="Arial"/>
          <w:sz w:val="12"/>
          <w:szCs w:val="12"/>
        </w:rPr>
        <w:t xml:space="preserve"> et al: </w:t>
      </w:r>
      <w:r w:rsidRPr="002311E0">
        <w:rPr>
          <w:rFonts w:ascii="Arial" w:hAnsi="Arial" w:cs="Arial"/>
          <w:sz w:val="12"/>
          <w:szCs w:val="12"/>
        </w:rPr>
        <w:t>Fever and Antipyretic in Critically ill patients</w:t>
      </w:r>
      <w:r>
        <w:rPr>
          <w:rFonts w:ascii="Arial" w:hAnsi="Arial" w:cs="Arial"/>
          <w:sz w:val="12"/>
          <w:szCs w:val="12"/>
        </w:rPr>
        <w:t xml:space="preserve"> Evaluation (FACE) Study Group. </w:t>
      </w:r>
      <w:r w:rsidRPr="002311E0">
        <w:rPr>
          <w:rFonts w:ascii="Arial" w:hAnsi="Arial" w:cs="Arial"/>
          <w:sz w:val="12"/>
          <w:szCs w:val="12"/>
        </w:rPr>
        <w:t>Association of body temperature and antipyret</w:t>
      </w:r>
      <w:r>
        <w:rPr>
          <w:rFonts w:ascii="Arial" w:hAnsi="Arial" w:cs="Arial"/>
          <w:sz w:val="12"/>
          <w:szCs w:val="12"/>
        </w:rPr>
        <w:t xml:space="preserve">ic treatments with mortality of </w:t>
      </w:r>
      <w:r w:rsidRPr="002311E0">
        <w:rPr>
          <w:rFonts w:ascii="Arial" w:hAnsi="Arial" w:cs="Arial"/>
          <w:sz w:val="12"/>
          <w:szCs w:val="12"/>
        </w:rPr>
        <w:t>critically ill patients with and without sep</w:t>
      </w:r>
      <w:r>
        <w:rPr>
          <w:rFonts w:ascii="Arial" w:hAnsi="Arial" w:cs="Arial"/>
          <w:sz w:val="12"/>
          <w:szCs w:val="12"/>
        </w:rPr>
        <w:t xml:space="preserve">sis: multi-centered prospective </w:t>
      </w:r>
      <w:r w:rsidRPr="002311E0">
        <w:rPr>
          <w:rFonts w:ascii="Arial" w:hAnsi="Arial" w:cs="Arial"/>
          <w:sz w:val="12"/>
          <w:szCs w:val="12"/>
        </w:rPr>
        <w:t>observational study. Crit Care. 2012 Feb 28;16(1):R33.</w:t>
      </w:r>
      <w:r>
        <w:rPr>
          <w:rFonts w:ascii="Arial" w:hAnsi="Arial" w:cs="Arial"/>
          <w:sz w:val="12"/>
          <w:szCs w:val="12"/>
        </w:rPr>
        <w:t xml:space="preserve"> </w:t>
      </w:r>
      <w:hyperlink r:id="rId46" w:history="1">
        <w:r w:rsidRPr="002311E0">
          <w:rPr>
            <w:rStyle w:val="Hyperlink"/>
            <w:rFonts w:ascii="Arial" w:hAnsi="Arial" w:cs="Arial"/>
            <w:sz w:val="12"/>
            <w:szCs w:val="12"/>
          </w:rPr>
          <w:t>https://www.ncbi.nlm.nih.gov/pubmed/22373120</w:t>
        </w:r>
      </w:hyperlink>
    </w:p>
  </w:endnote>
  <w:endnote w:id="34">
    <w:p w14:paraId="6AB90086" w14:textId="77777777" w:rsidR="00354AF5" w:rsidRPr="00C94625" w:rsidRDefault="00354AF5" w:rsidP="00627916">
      <w:pPr>
        <w:pStyle w:val="EndnoteText"/>
        <w:tabs>
          <w:tab w:val="left" w:pos="180"/>
        </w:tabs>
        <w:rPr>
          <w:rFonts w:ascii="Arial" w:hAnsi="Arial" w:cs="Arial"/>
          <w:sz w:val="12"/>
          <w:szCs w:val="12"/>
        </w:rPr>
      </w:pPr>
      <w:r w:rsidRPr="0085135C">
        <w:rPr>
          <w:rStyle w:val="EndnoteReference"/>
          <w:rFonts w:ascii="Arial" w:hAnsi="Arial" w:cs="Arial"/>
          <w:sz w:val="12"/>
          <w:szCs w:val="12"/>
        </w:rPr>
        <w:endnoteRef/>
      </w:r>
      <w:r w:rsidRPr="0085135C">
        <w:rPr>
          <w:rFonts w:ascii="Arial" w:hAnsi="Arial" w:cs="Arial"/>
          <w:sz w:val="12"/>
          <w:szCs w:val="12"/>
        </w:rPr>
        <w:tab/>
      </w:r>
      <w:r w:rsidRPr="00627916">
        <w:rPr>
          <w:rFonts w:ascii="Arial" w:hAnsi="Arial" w:cs="Arial"/>
          <w:sz w:val="12"/>
          <w:szCs w:val="12"/>
        </w:rPr>
        <w:t xml:space="preserve">Doxycycline, oral: Chapman AS, Bakken JS, Folk SM, Paddock CD, Bloch KC, Krusell A, et al: Tickborne Rickettsial Diseases Working Group; CDC. Diagnosis and management of tickborne rickettsial diseases: Rocky Mountain spotted fever, ehrlichioses, and anaplasmosis--United States: a practical guide for physicians and other health-care and public health  professionals. MMWR Recomm Rep. 2006 Mar 31;55(RR-4):1-27. </w:t>
      </w:r>
      <w:hyperlink r:id="rId47" w:history="1">
        <w:r w:rsidRPr="00627916">
          <w:rPr>
            <w:rStyle w:val="Hyperlink"/>
            <w:rFonts w:ascii="Arial" w:hAnsi="Arial" w:cs="Arial"/>
            <w:sz w:val="12"/>
            <w:szCs w:val="12"/>
          </w:rPr>
          <w:t>https://www.ncbi.nlm.nih.gov/pubmed/16572105</w:t>
        </w:r>
      </w:hyperlink>
    </w:p>
  </w:endnote>
  <w:endnote w:id="35">
    <w:p w14:paraId="61F714E7" w14:textId="214C824C" w:rsidR="00354AF5" w:rsidRPr="00526F0B" w:rsidRDefault="00354AF5" w:rsidP="00F15E87">
      <w:pPr>
        <w:pStyle w:val="EndnoteText"/>
        <w:rPr>
          <w:rFonts w:ascii="Arial" w:hAnsi="Arial" w:cs="Arial"/>
          <w:spacing w:val="-2"/>
          <w:sz w:val="12"/>
          <w:szCs w:val="12"/>
          <w:lang w:val="fr-FR"/>
        </w:rPr>
      </w:pPr>
      <w:r w:rsidRPr="00526F0B">
        <w:rPr>
          <w:rStyle w:val="EndnoteReference"/>
          <w:rFonts w:ascii="Arial" w:hAnsi="Arial" w:cs="Arial"/>
          <w:sz w:val="12"/>
          <w:szCs w:val="12"/>
        </w:rPr>
        <w:endnoteRef/>
      </w:r>
      <w:r w:rsidRPr="00526F0B">
        <w:rPr>
          <w:rFonts w:ascii="Arial" w:hAnsi="Arial" w:cs="Arial"/>
          <w:spacing w:val="-2"/>
          <w:sz w:val="12"/>
          <w:szCs w:val="12"/>
          <w:lang w:val="fr-FR"/>
        </w:rPr>
        <w:t xml:space="preserve">Doxycycline (pregnancy – tick bite fever): Frean J, Grayson W. South African Tick Bite Fever: An Overview. Dermatopathology (Basel). 2019 Jun 26;6(2):70-76. </w:t>
      </w:r>
      <w:hyperlink r:id="rId48" w:history="1">
        <w:r w:rsidRPr="00526F0B">
          <w:rPr>
            <w:rStyle w:val="Hyperlink"/>
            <w:rFonts w:ascii="Arial" w:hAnsi="Arial" w:cs="Arial"/>
            <w:spacing w:val="-2"/>
            <w:sz w:val="12"/>
            <w:szCs w:val="12"/>
            <w:lang w:val="fr-FR"/>
          </w:rPr>
          <w:t>https://pubmed.ncbi.nlm.nih.gov/31700846/</w:t>
        </w:r>
      </w:hyperlink>
      <w:r w:rsidRPr="00526F0B">
        <w:rPr>
          <w:rFonts w:ascii="Arial" w:hAnsi="Arial" w:cs="Arial"/>
          <w:spacing w:val="-2"/>
          <w:sz w:val="12"/>
          <w:szCs w:val="12"/>
          <w:lang w:val="fr-FR"/>
        </w:rPr>
        <w:t xml:space="preserve"> </w:t>
      </w:r>
    </w:p>
    <w:p w14:paraId="5EE9DC80" w14:textId="0F2F53A3" w:rsidR="00354AF5" w:rsidRPr="00526F0B" w:rsidRDefault="00354AF5" w:rsidP="00526F0B">
      <w:pPr>
        <w:pStyle w:val="EndnoteText"/>
        <w:tabs>
          <w:tab w:val="left" w:pos="142"/>
        </w:tabs>
        <w:rPr>
          <w:rFonts w:ascii="Arial" w:hAnsi="Arial" w:cs="Arial"/>
          <w:spacing w:val="-2"/>
          <w:sz w:val="12"/>
          <w:szCs w:val="12"/>
          <w:lang w:val="en-ZA"/>
        </w:rPr>
      </w:pPr>
      <w:r w:rsidRPr="00526F0B">
        <w:rPr>
          <w:rFonts w:ascii="Arial" w:hAnsi="Arial" w:cs="Arial"/>
          <w:spacing w:val="-2"/>
          <w:sz w:val="12"/>
          <w:szCs w:val="12"/>
          <w:lang w:val="fr-FR"/>
        </w:rPr>
        <w:t xml:space="preserve">Doxycycline (pregnancy – tick bite fever): Cross R, Ling C, Day NP, McGready R, Paris DH. Revisiting doxycycline in pregnancy and early childhood--time to rebuild its reputation? Expert Opin Drug Saf. 2016;15(3):367-82. </w:t>
      </w:r>
      <w:hyperlink r:id="rId49" w:history="1">
        <w:r w:rsidRPr="00526F0B">
          <w:rPr>
            <w:rStyle w:val="Hyperlink"/>
            <w:rFonts w:ascii="Arial" w:hAnsi="Arial" w:cs="Arial"/>
            <w:spacing w:val="-2"/>
            <w:sz w:val="12"/>
            <w:szCs w:val="12"/>
            <w:lang w:val="fr-FR"/>
          </w:rPr>
          <w:t>https://pubmed.ncbi.nlm.nih.gov/26680308/</w:t>
        </w:r>
      </w:hyperlink>
      <w:r w:rsidRPr="00526F0B">
        <w:rPr>
          <w:rFonts w:ascii="Arial" w:hAnsi="Arial" w:cs="Arial"/>
          <w:spacing w:val="-2"/>
          <w:sz w:val="12"/>
          <w:szCs w:val="12"/>
          <w:lang w:val="fr-FR"/>
        </w:rPr>
        <w:t xml:space="preserve"> </w:t>
      </w:r>
    </w:p>
    <w:p w14:paraId="4CBCFAA2" w14:textId="25A84645" w:rsidR="00354AF5" w:rsidRPr="00526F0B" w:rsidRDefault="00354AF5" w:rsidP="00526F0B">
      <w:pPr>
        <w:pStyle w:val="EndnoteText"/>
        <w:tabs>
          <w:tab w:val="left" w:pos="142"/>
        </w:tabs>
        <w:rPr>
          <w:rFonts w:ascii="Arial" w:hAnsi="Arial" w:cs="Arial"/>
          <w:spacing w:val="-2"/>
          <w:sz w:val="12"/>
          <w:szCs w:val="12"/>
          <w:lang w:val="en-ZA"/>
        </w:rPr>
      </w:pPr>
      <w:r w:rsidRPr="00526F0B">
        <w:rPr>
          <w:rFonts w:ascii="Arial" w:hAnsi="Arial" w:cs="Arial"/>
          <w:spacing w:val="-2"/>
          <w:sz w:val="12"/>
          <w:szCs w:val="12"/>
          <w:lang w:val="fr-FR"/>
        </w:rPr>
        <w:t xml:space="preserve">Doxycycline (pregnancy – tick bite fever): </w:t>
      </w:r>
      <w:r w:rsidRPr="00526F0B">
        <w:rPr>
          <w:rFonts w:ascii="Arial" w:hAnsi="Arial" w:cs="Arial"/>
          <w:spacing w:val="-2"/>
          <w:sz w:val="12"/>
          <w:szCs w:val="12"/>
          <w:lang w:val="en-ZA"/>
        </w:rPr>
        <w:t xml:space="preserve">McGready R, Prakash JA, Benjamin SJ, Watthanaworawit W, Anantatat T, Tanganuchitcharnchai A, et al. Pregnancy outcome in relation to treatment of murine typhus and scrub typhus infection: a fever cohort and a case series analysis. PLoS Negl Trop Dis. 2014 Nov 20;8(11):e3327. </w:t>
      </w:r>
      <w:hyperlink r:id="rId50" w:history="1">
        <w:r w:rsidRPr="00526F0B">
          <w:rPr>
            <w:rStyle w:val="Hyperlink"/>
            <w:rFonts w:ascii="Arial" w:hAnsi="Arial" w:cs="Arial"/>
            <w:spacing w:val="-2"/>
            <w:sz w:val="12"/>
            <w:szCs w:val="12"/>
            <w:lang w:val="en-ZA"/>
          </w:rPr>
          <w:t>https://pubmed.ncbi.nlm.nih.gov/25412503/</w:t>
        </w:r>
      </w:hyperlink>
      <w:r w:rsidRPr="00526F0B">
        <w:rPr>
          <w:rFonts w:ascii="Arial" w:hAnsi="Arial" w:cs="Arial"/>
          <w:spacing w:val="-2"/>
          <w:sz w:val="12"/>
          <w:szCs w:val="12"/>
          <w:lang w:val="en-ZA"/>
        </w:rPr>
        <w:t xml:space="preserve"> </w:t>
      </w:r>
    </w:p>
    <w:p w14:paraId="08E7F46B" w14:textId="439C856E" w:rsidR="00354AF5" w:rsidRPr="00526F0B" w:rsidRDefault="00354AF5" w:rsidP="00526F0B">
      <w:pPr>
        <w:pStyle w:val="EndnoteText"/>
        <w:tabs>
          <w:tab w:val="left" w:pos="142"/>
        </w:tabs>
        <w:rPr>
          <w:rFonts w:ascii="Arial" w:hAnsi="Arial" w:cs="Arial"/>
          <w:spacing w:val="-2"/>
          <w:sz w:val="12"/>
          <w:szCs w:val="12"/>
          <w:lang w:val="en-ZA"/>
        </w:rPr>
      </w:pPr>
      <w:r w:rsidRPr="00526F0B">
        <w:rPr>
          <w:rFonts w:ascii="Arial" w:hAnsi="Arial" w:cs="Arial"/>
          <w:spacing w:val="-2"/>
          <w:sz w:val="12"/>
          <w:szCs w:val="12"/>
          <w:lang w:val="fr-FR"/>
        </w:rPr>
        <w:t xml:space="preserve">Doxycycline (pregnancy – tick bite fever): </w:t>
      </w:r>
      <w:r w:rsidRPr="00526F0B">
        <w:rPr>
          <w:rFonts w:ascii="Arial" w:hAnsi="Arial" w:cs="Arial"/>
          <w:spacing w:val="-2"/>
          <w:sz w:val="12"/>
          <w:szCs w:val="12"/>
          <w:lang w:val="en-ZA"/>
        </w:rPr>
        <w:t>South African Medicines Formulary.  14th Edition.  Division of Clinical Pharmacology.  University of Cape Town, 2022.</w:t>
      </w:r>
    </w:p>
    <w:p w14:paraId="45985F00" w14:textId="66B7A7EC" w:rsidR="00354AF5" w:rsidRPr="005F6C25" w:rsidRDefault="00354AF5" w:rsidP="00526F0B">
      <w:pPr>
        <w:pStyle w:val="EndnoteText"/>
        <w:tabs>
          <w:tab w:val="left" w:pos="142"/>
        </w:tabs>
        <w:rPr>
          <w:spacing w:val="-2"/>
          <w:lang w:val="en-ZA"/>
        </w:rPr>
      </w:pPr>
      <w:r w:rsidRPr="00526F0B">
        <w:rPr>
          <w:rFonts w:ascii="Arial" w:hAnsi="Arial" w:cs="Arial"/>
          <w:spacing w:val="-2"/>
          <w:sz w:val="12"/>
          <w:szCs w:val="12"/>
          <w:lang w:val="fr-FR"/>
        </w:rPr>
        <w:t xml:space="preserve">Doxycycline (pregnancy – tick bite fever): </w:t>
      </w:r>
      <w:r w:rsidRPr="00526F0B">
        <w:rPr>
          <w:rFonts w:ascii="Arial" w:hAnsi="Arial" w:cs="Arial"/>
          <w:spacing w:val="-2"/>
          <w:sz w:val="12"/>
          <w:szCs w:val="12"/>
          <w:lang w:val="en-ZA"/>
        </w:rPr>
        <w:t xml:space="preserve">Cooper WO, Hernandez-Diaz S, Arbogast PG, Dudley JA, Dyer SM, Gideon PS, et al. Antibiotics potentially used in response to bioterrorism and the risk of major congenital malformations. Paediatr Perinat Epidemiol. 2009 Jan;23(1):18-28. </w:t>
      </w:r>
      <w:hyperlink r:id="rId51" w:history="1">
        <w:r w:rsidRPr="00526F0B">
          <w:rPr>
            <w:rStyle w:val="Hyperlink"/>
            <w:rFonts w:ascii="Arial" w:hAnsi="Arial" w:cs="Arial"/>
            <w:spacing w:val="-2"/>
            <w:sz w:val="12"/>
            <w:szCs w:val="12"/>
            <w:lang w:val="en-ZA"/>
          </w:rPr>
          <w:t>https://pubmed.ncbi.nlm.nih.gov/19228311/</w:t>
        </w:r>
      </w:hyperlink>
      <w:r>
        <w:rPr>
          <w:spacing w:val="-2"/>
          <w:lang w:val="en-ZA"/>
        </w:rPr>
        <w:t xml:space="preserve"> </w:t>
      </w:r>
    </w:p>
  </w:endnote>
  <w:endnote w:id="36">
    <w:p w14:paraId="56560ED0" w14:textId="77777777" w:rsidR="00354AF5" w:rsidRPr="00967BD8" w:rsidRDefault="00354AF5" w:rsidP="00967BD8">
      <w:pPr>
        <w:pStyle w:val="EndnoteText"/>
        <w:tabs>
          <w:tab w:val="left" w:pos="180"/>
        </w:tabs>
        <w:rPr>
          <w:rFonts w:ascii="Arial" w:hAnsi="Arial" w:cs="Arial"/>
          <w:sz w:val="12"/>
          <w:szCs w:val="12"/>
        </w:rPr>
      </w:pPr>
      <w:r w:rsidRPr="0085135C">
        <w:rPr>
          <w:rStyle w:val="EndnoteReference"/>
          <w:rFonts w:ascii="Arial" w:hAnsi="Arial" w:cs="Arial"/>
          <w:sz w:val="12"/>
          <w:szCs w:val="12"/>
        </w:rPr>
        <w:endnoteRef/>
      </w:r>
      <w:r w:rsidRPr="0085135C">
        <w:rPr>
          <w:rFonts w:ascii="Arial" w:hAnsi="Arial" w:cs="Arial"/>
          <w:sz w:val="12"/>
          <w:szCs w:val="12"/>
        </w:rPr>
        <w:tab/>
      </w:r>
      <w:r>
        <w:rPr>
          <w:rFonts w:ascii="Arial" w:hAnsi="Arial" w:cs="Arial"/>
          <w:sz w:val="12"/>
          <w:szCs w:val="12"/>
        </w:rPr>
        <w:t>Azithromycin, oral (pregnancy)</w:t>
      </w:r>
      <w:r w:rsidRPr="00967BD8">
        <w:rPr>
          <w:rFonts w:ascii="Arial" w:hAnsi="Arial" w:cs="Arial"/>
          <w:sz w:val="12"/>
          <w:szCs w:val="12"/>
        </w:rPr>
        <w:t xml:space="preserve">: Cascio A, Colomba C, Antinori S, Paterson DL, Titone L. Clarithromycin versus </w:t>
      </w:r>
    </w:p>
    <w:p w14:paraId="3E831E40" w14:textId="77777777" w:rsidR="00354AF5" w:rsidRPr="00C94625" w:rsidRDefault="00354AF5" w:rsidP="00967BD8">
      <w:pPr>
        <w:pStyle w:val="EndnoteText"/>
        <w:tabs>
          <w:tab w:val="left" w:pos="180"/>
        </w:tabs>
        <w:rPr>
          <w:rFonts w:ascii="Arial" w:hAnsi="Arial" w:cs="Arial"/>
          <w:sz w:val="12"/>
          <w:szCs w:val="12"/>
        </w:rPr>
      </w:pPr>
      <w:r w:rsidRPr="00967BD8">
        <w:rPr>
          <w:rFonts w:ascii="Arial" w:hAnsi="Arial" w:cs="Arial"/>
          <w:sz w:val="12"/>
          <w:szCs w:val="12"/>
        </w:rPr>
        <w:t xml:space="preserve">azithromycin in the treatment of Mediterranean spotted fever in children: a randomized controlled trial. Clin Infect Dis. 2002 Jan 15;34(2):154-8. </w:t>
      </w:r>
      <w:hyperlink r:id="rId52" w:history="1">
        <w:r w:rsidRPr="00530481">
          <w:rPr>
            <w:rStyle w:val="Hyperlink"/>
            <w:rFonts w:ascii="Arial" w:hAnsi="Arial" w:cs="Arial"/>
            <w:sz w:val="12"/>
            <w:szCs w:val="12"/>
          </w:rPr>
          <w:t>http://www.ncbi.nlm.nih.gov/pubmed/11740701</w:t>
        </w:r>
      </w:hyperlink>
    </w:p>
  </w:endnote>
  <w:endnote w:id="37">
    <w:p w14:paraId="472C4B2D" w14:textId="77777777" w:rsidR="00354AF5" w:rsidRPr="00C94625" w:rsidRDefault="00354AF5" w:rsidP="00967BD8">
      <w:pPr>
        <w:pStyle w:val="EndnoteText"/>
        <w:tabs>
          <w:tab w:val="left" w:pos="180"/>
        </w:tabs>
        <w:rPr>
          <w:rFonts w:ascii="Arial" w:hAnsi="Arial" w:cs="Arial"/>
          <w:sz w:val="12"/>
          <w:szCs w:val="12"/>
        </w:rPr>
      </w:pPr>
      <w:r w:rsidRPr="0085135C">
        <w:rPr>
          <w:rStyle w:val="EndnoteReference"/>
          <w:rFonts w:ascii="Arial" w:hAnsi="Arial" w:cs="Arial"/>
          <w:sz w:val="12"/>
          <w:szCs w:val="12"/>
        </w:rPr>
        <w:endnoteRef/>
      </w:r>
      <w:r w:rsidRPr="0085135C">
        <w:rPr>
          <w:rFonts w:ascii="Arial" w:hAnsi="Arial" w:cs="Arial"/>
          <w:sz w:val="12"/>
          <w:szCs w:val="12"/>
        </w:rPr>
        <w:tab/>
      </w:r>
      <w:r>
        <w:rPr>
          <w:rFonts w:ascii="Arial" w:hAnsi="Arial" w:cs="Arial"/>
          <w:sz w:val="12"/>
          <w:szCs w:val="12"/>
        </w:rPr>
        <w:t xml:space="preserve">Ciprofloxacin, IV: </w:t>
      </w:r>
      <w:r w:rsidRPr="00967BD8">
        <w:rPr>
          <w:rFonts w:ascii="Arial" w:hAnsi="Arial" w:cs="Arial"/>
          <w:sz w:val="12"/>
          <w:szCs w:val="12"/>
        </w:rPr>
        <w:t xml:space="preserve">Raoult D, Drancourt M. Antimicrobial therapy of rickettsial diseases. Antimicrob Agents Chemother. 1991 Dec;35(12):2457-62. </w:t>
      </w:r>
      <w:hyperlink r:id="rId53" w:history="1">
        <w:r w:rsidRPr="00530481">
          <w:rPr>
            <w:rStyle w:val="Hyperlink"/>
            <w:rFonts w:ascii="Arial" w:hAnsi="Arial" w:cs="Arial"/>
            <w:sz w:val="12"/>
            <w:szCs w:val="12"/>
          </w:rPr>
          <w:t>http://www.ncbi.nlm.nih.gov/pubmed/1810178</w:t>
        </w:r>
      </w:hyperlink>
    </w:p>
  </w:endnote>
  <w:endnote w:id="38">
    <w:p w14:paraId="094CD398" w14:textId="77777777" w:rsidR="00354AF5" w:rsidRPr="00C94625" w:rsidRDefault="00354AF5" w:rsidP="00627916">
      <w:pPr>
        <w:pStyle w:val="EndnoteText"/>
        <w:tabs>
          <w:tab w:val="left" w:pos="180"/>
        </w:tabs>
        <w:rPr>
          <w:rFonts w:ascii="Arial" w:hAnsi="Arial" w:cs="Arial"/>
          <w:sz w:val="12"/>
          <w:szCs w:val="12"/>
        </w:rPr>
      </w:pPr>
      <w:r w:rsidRPr="0085135C">
        <w:rPr>
          <w:rStyle w:val="EndnoteReference"/>
          <w:rFonts w:ascii="Arial" w:hAnsi="Arial" w:cs="Arial"/>
          <w:sz w:val="12"/>
          <w:szCs w:val="12"/>
        </w:rPr>
        <w:endnoteRef/>
      </w:r>
      <w:r w:rsidRPr="0085135C">
        <w:rPr>
          <w:rFonts w:ascii="Arial" w:hAnsi="Arial" w:cs="Arial"/>
          <w:sz w:val="12"/>
          <w:szCs w:val="12"/>
        </w:rPr>
        <w:tab/>
      </w:r>
      <w:r>
        <w:rPr>
          <w:rFonts w:ascii="Arial" w:hAnsi="Arial" w:cs="Arial"/>
          <w:sz w:val="12"/>
          <w:szCs w:val="12"/>
        </w:rPr>
        <w:t>Treatment failure &gt; 48 hours requiring referral</w:t>
      </w:r>
      <w:r w:rsidRPr="00627916">
        <w:rPr>
          <w:rFonts w:ascii="Arial" w:hAnsi="Arial" w:cs="Arial"/>
          <w:sz w:val="12"/>
          <w:szCs w:val="12"/>
        </w:rPr>
        <w:t xml:space="preserve">: Chapman AS, Bakken JS, Folk SM, Paddock CD, Bloch KC, Krusell A, et al: Tickborne Rickettsial Diseases Working Group; CDC. Diagnosis and management of tickborne rickettsial diseases: Rocky Mountain spotted fever, ehrlichioses, and anaplasmosis--United States: a practical guide for physicians and other health-care and public health  professionals. MMWR Recomm Rep. 2006 Mar 31;55(RR-4):1-27. </w:t>
      </w:r>
      <w:hyperlink r:id="rId54" w:history="1">
        <w:r w:rsidRPr="00627916">
          <w:rPr>
            <w:rStyle w:val="Hyperlink"/>
            <w:rFonts w:ascii="Arial" w:hAnsi="Arial" w:cs="Arial"/>
            <w:sz w:val="12"/>
            <w:szCs w:val="12"/>
          </w:rPr>
          <w:t>https://www.ncbi.nlm.nih.gov/pubmed/16572105</w:t>
        </w:r>
      </w:hyperlink>
    </w:p>
  </w:endnote>
  <w:endnote w:id="39">
    <w:p w14:paraId="635E2451" w14:textId="77777777" w:rsidR="00354AF5" w:rsidRPr="00BF473B" w:rsidRDefault="00354AF5" w:rsidP="00BF473B">
      <w:pPr>
        <w:pStyle w:val="EndnoteText"/>
        <w:tabs>
          <w:tab w:val="left" w:pos="180"/>
        </w:tabs>
        <w:rPr>
          <w:rFonts w:ascii="Arial" w:hAnsi="Arial" w:cs="Arial"/>
          <w:sz w:val="12"/>
          <w:szCs w:val="12"/>
        </w:rPr>
      </w:pPr>
      <w:r w:rsidRPr="0085135C">
        <w:rPr>
          <w:rStyle w:val="EndnoteReference"/>
          <w:rFonts w:ascii="Arial" w:hAnsi="Arial" w:cs="Arial"/>
          <w:sz w:val="12"/>
          <w:szCs w:val="12"/>
        </w:rPr>
        <w:endnoteRef/>
      </w:r>
      <w:r w:rsidRPr="0085135C">
        <w:rPr>
          <w:rFonts w:ascii="Arial" w:hAnsi="Arial" w:cs="Arial"/>
          <w:sz w:val="12"/>
          <w:szCs w:val="12"/>
        </w:rPr>
        <w:tab/>
      </w:r>
      <w:r>
        <w:rPr>
          <w:rFonts w:ascii="Arial" w:hAnsi="Arial" w:cs="Arial"/>
          <w:sz w:val="12"/>
          <w:szCs w:val="12"/>
        </w:rPr>
        <w:t xml:space="preserve">Ceftriaxone, IV: </w:t>
      </w:r>
      <w:r w:rsidRPr="00BF473B">
        <w:rPr>
          <w:rFonts w:ascii="Arial" w:hAnsi="Arial" w:cs="Arial"/>
          <w:sz w:val="12"/>
          <w:szCs w:val="12"/>
        </w:rPr>
        <w:t xml:space="preserve">Acharya G, Butler T, Ho M, Sharma PR, Tiwari M, Adhikari RK, Khagda JB, Pokhrel B, Pathak UN. Treatment of typhoid fever: randomized trial of a three-day course of ceftriaxone versus a fourteen-day course of chloramphenicol. Am J Trop Med Hyg. 1995 Feb;52(2):162-5. </w:t>
      </w:r>
      <w:hyperlink r:id="rId55" w:history="1">
        <w:r w:rsidRPr="00126047">
          <w:rPr>
            <w:rStyle w:val="Hyperlink"/>
            <w:rFonts w:ascii="Arial" w:hAnsi="Arial" w:cs="Arial"/>
            <w:sz w:val="12"/>
            <w:szCs w:val="12"/>
          </w:rPr>
          <w:t>http://www.ncbi.nlm.nih.gov/pubmed/7872445</w:t>
        </w:r>
      </w:hyperlink>
    </w:p>
    <w:p w14:paraId="2DA416D0" w14:textId="77777777" w:rsidR="00354AF5" w:rsidRPr="00BF473B" w:rsidRDefault="00354AF5" w:rsidP="00BF473B">
      <w:pPr>
        <w:pStyle w:val="EndnoteText"/>
        <w:tabs>
          <w:tab w:val="left" w:pos="180"/>
        </w:tabs>
        <w:rPr>
          <w:rFonts w:ascii="Arial" w:hAnsi="Arial" w:cs="Arial"/>
          <w:sz w:val="12"/>
          <w:szCs w:val="12"/>
        </w:rPr>
      </w:pPr>
      <w:r>
        <w:rPr>
          <w:rFonts w:ascii="Arial" w:hAnsi="Arial" w:cs="Arial"/>
          <w:sz w:val="12"/>
          <w:szCs w:val="12"/>
        </w:rPr>
        <w:tab/>
        <w:t xml:space="preserve">Ceftriaxone, IV: </w:t>
      </w:r>
      <w:r w:rsidRPr="00BF473B">
        <w:rPr>
          <w:rFonts w:ascii="Arial" w:hAnsi="Arial" w:cs="Arial"/>
          <w:sz w:val="12"/>
          <w:szCs w:val="12"/>
        </w:rPr>
        <w:t xml:space="preserve">Smith MD, Duong NM, Hoa NT, Wain J, Ha HD, Diep TS, Day NP, Hien TT, White NJ. Comparison of ofloxacin and ceftriaxone for short-course treatment of enteric fever.Antimicrob Agents Chemother. 1994 Aug;38(8):1716-20. </w:t>
      </w:r>
      <w:hyperlink r:id="rId56" w:history="1">
        <w:r w:rsidRPr="00126047">
          <w:rPr>
            <w:rStyle w:val="Hyperlink"/>
            <w:rFonts w:ascii="Arial" w:hAnsi="Arial" w:cs="Arial"/>
            <w:sz w:val="12"/>
            <w:szCs w:val="12"/>
          </w:rPr>
          <w:t>http://www.ncbi.nlm.nih.gov/pubmed/7986000</w:t>
        </w:r>
      </w:hyperlink>
    </w:p>
    <w:p w14:paraId="0B0BE5CF" w14:textId="77777777" w:rsidR="00354AF5" w:rsidRPr="00BF473B" w:rsidRDefault="00354AF5" w:rsidP="00BF473B">
      <w:pPr>
        <w:pStyle w:val="EndnoteText"/>
        <w:tabs>
          <w:tab w:val="left" w:pos="180"/>
        </w:tabs>
        <w:rPr>
          <w:rFonts w:ascii="Arial" w:hAnsi="Arial" w:cs="Arial"/>
          <w:sz w:val="12"/>
          <w:szCs w:val="12"/>
        </w:rPr>
      </w:pPr>
      <w:r>
        <w:rPr>
          <w:rFonts w:ascii="Arial" w:hAnsi="Arial" w:cs="Arial"/>
          <w:sz w:val="12"/>
          <w:szCs w:val="12"/>
        </w:rPr>
        <w:tab/>
        <w:t xml:space="preserve">Ceftriaxone, IV: </w:t>
      </w:r>
      <w:r w:rsidRPr="00BF473B">
        <w:rPr>
          <w:rFonts w:ascii="Arial" w:hAnsi="Arial" w:cs="Arial"/>
          <w:sz w:val="12"/>
          <w:szCs w:val="12"/>
        </w:rPr>
        <w:t xml:space="preserve">Wallace MR, Yousif AA, Mahroos GA, Mapes T, Threlfall EJ, Rowe B, Hyams KC. Ciprofloxacin versus ceftriaxone in the treatment of multiresistant typhoid fever. Eur J ClinMicrobiol Infect Dis. 1993 Dec;12(12):907-10. </w:t>
      </w:r>
      <w:hyperlink r:id="rId57" w:history="1">
        <w:r w:rsidRPr="00126047">
          <w:rPr>
            <w:rStyle w:val="Hyperlink"/>
            <w:rFonts w:ascii="Arial" w:hAnsi="Arial" w:cs="Arial"/>
            <w:sz w:val="12"/>
            <w:szCs w:val="12"/>
          </w:rPr>
          <w:t>http://www.ncbi.nlm.nih.gov/pubmed/8187784</w:t>
        </w:r>
      </w:hyperlink>
    </w:p>
    <w:p w14:paraId="627BEB2C" w14:textId="77777777" w:rsidR="00354AF5" w:rsidRPr="00BF473B" w:rsidRDefault="00354AF5" w:rsidP="00BF473B">
      <w:pPr>
        <w:pStyle w:val="EndnoteText"/>
        <w:tabs>
          <w:tab w:val="left" w:pos="180"/>
        </w:tabs>
        <w:rPr>
          <w:rFonts w:ascii="Arial" w:hAnsi="Arial" w:cs="Arial"/>
          <w:sz w:val="12"/>
          <w:szCs w:val="12"/>
        </w:rPr>
      </w:pPr>
      <w:r>
        <w:rPr>
          <w:rFonts w:ascii="Arial" w:hAnsi="Arial" w:cs="Arial"/>
          <w:sz w:val="12"/>
          <w:szCs w:val="12"/>
        </w:rPr>
        <w:tab/>
        <w:t xml:space="preserve">Ceftriaxone, IV: </w:t>
      </w:r>
      <w:r w:rsidRPr="00BF473B">
        <w:rPr>
          <w:rFonts w:ascii="Arial" w:hAnsi="Arial" w:cs="Arial"/>
          <w:sz w:val="12"/>
          <w:szCs w:val="12"/>
        </w:rPr>
        <w:t xml:space="preserve">Islam A, Butler T, Kabir I, Alam NH. Treatment of typhoid fever with ceftriaxone for 5 days or chloramphenicol for 14 days: a randomized clinical trial. Antimicrob Agents Chemother. 1993 Aug;37(8):1572-5. </w:t>
      </w:r>
      <w:hyperlink r:id="rId58" w:history="1">
        <w:r w:rsidRPr="00126047">
          <w:rPr>
            <w:rStyle w:val="Hyperlink"/>
            <w:rFonts w:ascii="Arial" w:hAnsi="Arial" w:cs="Arial"/>
            <w:sz w:val="12"/>
            <w:szCs w:val="12"/>
          </w:rPr>
          <w:t>http://www.ncbi.nlm.nih.gov/pubmed/8215265</w:t>
        </w:r>
      </w:hyperlink>
    </w:p>
    <w:p w14:paraId="46F9E0EF" w14:textId="77777777" w:rsidR="00354AF5" w:rsidRPr="00BF473B" w:rsidRDefault="00354AF5" w:rsidP="00BF473B">
      <w:pPr>
        <w:pStyle w:val="EndnoteText"/>
        <w:tabs>
          <w:tab w:val="left" w:pos="180"/>
        </w:tabs>
        <w:rPr>
          <w:rFonts w:ascii="Arial" w:hAnsi="Arial" w:cs="Arial"/>
          <w:sz w:val="12"/>
          <w:szCs w:val="12"/>
        </w:rPr>
      </w:pPr>
      <w:r>
        <w:rPr>
          <w:rFonts w:ascii="Arial" w:hAnsi="Arial" w:cs="Arial"/>
          <w:sz w:val="12"/>
          <w:szCs w:val="12"/>
        </w:rPr>
        <w:tab/>
        <w:t xml:space="preserve">Ceftriaxone, IV: </w:t>
      </w:r>
      <w:r w:rsidRPr="00BF473B">
        <w:rPr>
          <w:rFonts w:ascii="Arial" w:hAnsi="Arial" w:cs="Arial"/>
          <w:sz w:val="12"/>
          <w:szCs w:val="12"/>
        </w:rPr>
        <w:t xml:space="preserve">Lasserre R, Sangalang RP, Santiago L. Three-day treatment of typhoid fever with two different doses of ceftriaxone, compared to 14-day therapy with chloramphenicol: a randomized trial. J AntimicrobChemother. 1991 Nov;28(5):765-72. </w:t>
      </w:r>
      <w:hyperlink r:id="rId59" w:history="1">
        <w:r w:rsidRPr="00126047">
          <w:rPr>
            <w:rStyle w:val="Hyperlink"/>
            <w:rFonts w:ascii="Arial" w:hAnsi="Arial" w:cs="Arial"/>
            <w:sz w:val="12"/>
            <w:szCs w:val="12"/>
          </w:rPr>
          <w:t>http://www.ncbi.nlm.nih.gov/pubmed/1778879</w:t>
        </w:r>
      </w:hyperlink>
    </w:p>
    <w:p w14:paraId="7B370484" w14:textId="77777777" w:rsidR="00354AF5" w:rsidRPr="00C94625" w:rsidRDefault="00354AF5" w:rsidP="00BF473B">
      <w:pPr>
        <w:pStyle w:val="EndnoteText"/>
        <w:tabs>
          <w:tab w:val="left" w:pos="180"/>
        </w:tabs>
        <w:rPr>
          <w:rFonts w:ascii="Arial" w:hAnsi="Arial" w:cs="Arial"/>
          <w:sz w:val="12"/>
          <w:szCs w:val="12"/>
        </w:rPr>
      </w:pPr>
      <w:r>
        <w:rPr>
          <w:rFonts w:ascii="Arial" w:hAnsi="Arial" w:cs="Arial"/>
          <w:sz w:val="12"/>
          <w:szCs w:val="12"/>
        </w:rPr>
        <w:tab/>
        <w:t xml:space="preserve">Ceftriaxone, IV: </w:t>
      </w:r>
      <w:r w:rsidRPr="00BF473B">
        <w:rPr>
          <w:rFonts w:ascii="Arial" w:hAnsi="Arial" w:cs="Arial"/>
          <w:sz w:val="12"/>
          <w:szCs w:val="12"/>
        </w:rPr>
        <w:t xml:space="preserve">Islam A, Butler T, Nath SK, Alam NH, Stoeckel K, Houser HB, Smith AL. Randomized treatment of patients with typhoid fever by using ceftriaxone or chloramphenicol. J Infect Dis. 1988 Oct;158(4):742-7. </w:t>
      </w:r>
      <w:hyperlink r:id="rId60" w:history="1">
        <w:r w:rsidRPr="00126047">
          <w:rPr>
            <w:rStyle w:val="Hyperlink"/>
            <w:rFonts w:ascii="Arial" w:hAnsi="Arial" w:cs="Arial"/>
            <w:sz w:val="12"/>
            <w:szCs w:val="12"/>
          </w:rPr>
          <w:t>http://www.ncbi.nlm.nih.gov/pubmed/3171225</w:t>
        </w:r>
      </w:hyperlink>
    </w:p>
  </w:endnote>
  <w:endnote w:id="40">
    <w:p w14:paraId="22AAC6E8" w14:textId="27AEF153" w:rsidR="00354AF5" w:rsidRPr="00570848" w:rsidRDefault="00354AF5">
      <w:pPr>
        <w:pStyle w:val="EndnoteText"/>
        <w:rPr>
          <w:rFonts w:ascii="Arial" w:hAnsi="Arial" w:cs="Arial"/>
          <w:sz w:val="12"/>
          <w:szCs w:val="12"/>
          <w:lang w:val="en-ZA"/>
        </w:rPr>
      </w:pPr>
      <w:r w:rsidRPr="00570848">
        <w:rPr>
          <w:rStyle w:val="EndnoteReference"/>
          <w:rFonts w:ascii="Arial" w:hAnsi="Arial" w:cs="Arial"/>
          <w:sz w:val="12"/>
          <w:szCs w:val="12"/>
        </w:rPr>
        <w:endnoteRef/>
      </w:r>
      <w:r w:rsidRPr="00570848">
        <w:rPr>
          <w:rFonts w:ascii="Arial" w:hAnsi="Arial" w:cs="Arial"/>
          <w:sz w:val="12"/>
          <w:szCs w:val="12"/>
        </w:rPr>
        <w:t xml:space="preserve"> Antiviral, </w:t>
      </w:r>
      <w:r>
        <w:rPr>
          <w:rFonts w:ascii="Arial" w:hAnsi="Arial" w:cs="Arial"/>
          <w:sz w:val="12"/>
          <w:szCs w:val="12"/>
        </w:rPr>
        <w:t xml:space="preserve">oral </w:t>
      </w:r>
      <w:r w:rsidRPr="00570848">
        <w:rPr>
          <w:rFonts w:ascii="Arial" w:hAnsi="Arial" w:cs="Arial"/>
          <w:sz w:val="12"/>
          <w:szCs w:val="12"/>
        </w:rPr>
        <w:t>(active against herpes zoster)</w:t>
      </w:r>
      <w:r>
        <w:rPr>
          <w:rFonts w:ascii="Arial" w:hAnsi="Arial" w:cs="Arial"/>
          <w:sz w:val="12"/>
          <w:szCs w:val="12"/>
        </w:rPr>
        <w:t xml:space="preserve"> therapeutic class: </w:t>
      </w:r>
      <w:r w:rsidRPr="005D6DF1">
        <w:rPr>
          <w:rFonts w:ascii="Arial" w:hAnsi="Arial" w:cs="Arial"/>
          <w:sz w:val="12"/>
          <w:szCs w:val="12"/>
        </w:rPr>
        <w:t xml:space="preserve">Tunbridge AJ et al; British Infection Society. Chickenpox in adults </w:t>
      </w:r>
      <w:r w:rsidRPr="005D6DF1">
        <w:rPr>
          <w:rFonts w:ascii="Cambria Math" w:hAnsi="Cambria Math" w:cs="Cambria Math"/>
          <w:sz w:val="12"/>
          <w:szCs w:val="12"/>
        </w:rPr>
        <w:t>‐</w:t>
      </w:r>
      <w:r w:rsidRPr="005D6DF1">
        <w:rPr>
          <w:rFonts w:ascii="Arial" w:hAnsi="Arial" w:cs="Arial"/>
          <w:sz w:val="12"/>
          <w:szCs w:val="12"/>
        </w:rPr>
        <w:t xml:space="preserve"> clinical management. J Infect. 2008 Aug;57(2):95</w:t>
      </w:r>
      <w:r w:rsidRPr="005D6DF1">
        <w:rPr>
          <w:rFonts w:ascii="Cambria Math" w:hAnsi="Cambria Math" w:cs="Cambria Math"/>
          <w:sz w:val="12"/>
          <w:szCs w:val="12"/>
        </w:rPr>
        <w:t>‐</w:t>
      </w:r>
      <w:r w:rsidRPr="005D6DF1">
        <w:rPr>
          <w:rFonts w:ascii="Arial" w:hAnsi="Arial" w:cs="Arial"/>
          <w:sz w:val="12"/>
          <w:szCs w:val="12"/>
        </w:rPr>
        <w:t>102.</w:t>
      </w:r>
      <w:r w:rsidRPr="005D6DF1">
        <w:t xml:space="preserve"> </w:t>
      </w:r>
      <w:hyperlink r:id="rId61" w:history="1">
        <w:r w:rsidRPr="007640D1">
          <w:rPr>
            <w:rStyle w:val="Hyperlink"/>
            <w:rFonts w:ascii="Arial" w:hAnsi="Arial" w:cs="Arial"/>
            <w:sz w:val="12"/>
            <w:szCs w:val="12"/>
          </w:rPr>
          <w:t>https://pubmed.ncbi.nlm.nih.gov/18555533/</w:t>
        </w:r>
      </w:hyperlink>
      <w:r>
        <w:rPr>
          <w:rFonts w:ascii="Arial" w:hAnsi="Arial" w:cs="Arial"/>
          <w:sz w:val="12"/>
          <w:szCs w:val="12"/>
        </w:rPr>
        <w:t xml:space="preserve"> </w:t>
      </w:r>
    </w:p>
  </w:endnote>
  <w:endnote w:id="41">
    <w:p w14:paraId="4A2980FA" w14:textId="4AB21CDA" w:rsidR="00354AF5" w:rsidRPr="00570848" w:rsidRDefault="00354AF5" w:rsidP="00E8562E">
      <w:pPr>
        <w:pStyle w:val="EndnoteText"/>
        <w:rPr>
          <w:rFonts w:ascii="Arial" w:hAnsi="Arial" w:cs="Arial"/>
          <w:sz w:val="12"/>
          <w:szCs w:val="12"/>
          <w:lang w:val="en-ZA"/>
        </w:rPr>
      </w:pPr>
      <w:r w:rsidRPr="00570848">
        <w:rPr>
          <w:rStyle w:val="EndnoteReference"/>
          <w:rFonts w:ascii="Arial" w:hAnsi="Arial" w:cs="Arial"/>
          <w:sz w:val="12"/>
          <w:szCs w:val="12"/>
        </w:rPr>
        <w:endnoteRef/>
      </w:r>
      <w:r w:rsidRPr="00570848">
        <w:rPr>
          <w:rFonts w:ascii="Arial" w:hAnsi="Arial" w:cs="Arial"/>
          <w:sz w:val="12"/>
          <w:szCs w:val="12"/>
        </w:rPr>
        <w:t xml:space="preserve"> </w:t>
      </w:r>
      <w:r w:rsidRPr="009B7531">
        <w:rPr>
          <w:rFonts w:ascii="Arial" w:hAnsi="Arial" w:cs="Arial"/>
          <w:sz w:val="12"/>
          <w:szCs w:val="12"/>
        </w:rPr>
        <w:t>Varicella-zoster immunoglobulin (VZIG), IM</w:t>
      </w:r>
      <w:r>
        <w:rPr>
          <w:rFonts w:ascii="Arial" w:hAnsi="Arial" w:cs="Arial"/>
          <w:sz w:val="12"/>
          <w:szCs w:val="12"/>
        </w:rPr>
        <w:t xml:space="preserve"> (indication of immunocompromised with no immunity): </w:t>
      </w:r>
      <w:r w:rsidRPr="009B7531">
        <w:rPr>
          <w:rFonts w:ascii="Arial" w:hAnsi="Arial" w:cs="Arial"/>
          <w:sz w:val="12"/>
          <w:szCs w:val="12"/>
        </w:rPr>
        <w:t xml:space="preserve">Centers for Disease Control and Prevention (CDC). Updated recommendations for use of VariZIG--United States, 2013. MMWR Morb Mortal Wkly Rep. 2013 Jul 19;62(28):574-6. </w:t>
      </w:r>
      <w:hyperlink r:id="rId62" w:history="1">
        <w:r w:rsidRPr="002A4D87">
          <w:rPr>
            <w:rStyle w:val="Hyperlink"/>
            <w:rFonts w:ascii="Arial" w:hAnsi="Arial" w:cs="Arial"/>
            <w:sz w:val="12"/>
            <w:szCs w:val="12"/>
          </w:rPr>
          <w:t>https://pubmed.ncbi.nlm.nih.gov/23863705/</w:t>
        </w:r>
      </w:hyperlink>
      <w:r>
        <w:rPr>
          <w:rFonts w:ascii="Arial" w:hAnsi="Arial" w:cs="Arial"/>
          <w:sz w:val="12"/>
          <w:szCs w:val="12"/>
        </w:rPr>
        <w:t xml:space="preserve"> </w:t>
      </w:r>
    </w:p>
  </w:endnote>
  <w:endnote w:id="42">
    <w:p w14:paraId="08B5380A" w14:textId="05C6835D" w:rsidR="00354AF5" w:rsidRPr="00721D76" w:rsidRDefault="00354AF5" w:rsidP="00876821">
      <w:pPr>
        <w:pStyle w:val="EndnoteText"/>
        <w:rPr>
          <w:rFonts w:ascii="Arial" w:hAnsi="Arial" w:cs="Arial"/>
          <w:sz w:val="12"/>
          <w:szCs w:val="12"/>
          <w:lang w:val="en-ZA"/>
        </w:rPr>
      </w:pPr>
      <w:r w:rsidRPr="00721D76">
        <w:rPr>
          <w:rStyle w:val="EndnoteReference"/>
          <w:rFonts w:ascii="Arial" w:hAnsi="Arial" w:cs="Arial"/>
          <w:sz w:val="12"/>
          <w:szCs w:val="12"/>
        </w:rPr>
        <w:endnoteRef/>
      </w:r>
      <w:r w:rsidRPr="00721D76">
        <w:rPr>
          <w:rFonts w:ascii="Arial" w:hAnsi="Arial" w:cs="Arial"/>
          <w:sz w:val="12"/>
          <w:szCs w:val="12"/>
          <w:lang w:val="en-ZA"/>
        </w:rPr>
        <w:t xml:space="preserve">Antivirals to treat herpes zoster (therapeutic class): </w:t>
      </w:r>
      <w:r w:rsidRPr="005D6DF1">
        <w:rPr>
          <w:rFonts w:ascii="Arial" w:hAnsi="Arial" w:cs="Arial"/>
          <w:sz w:val="12"/>
          <w:szCs w:val="12"/>
        </w:rPr>
        <w:t xml:space="preserve">Tunbridge AJ et al; British Infection Society. Chickenpox in adults </w:t>
      </w:r>
      <w:r w:rsidRPr="005D6DF1">
        <w:rPr>
          <w:rFonts w:ascii="Cambria Math" w:hAnsi="Cambria Math" w:cs="Cambria Math"/>
          <w:sz w:val="12"/>
          <w:szCs w:val="12"/>
        </w:rPr>
        <w:t>‐</w:t>
      </w:r>
      <w:r w:rsidRPr="005D6DF1">
        <w:rPr>
          <w:rFonts w:ascii="Arial" w:hAnsi="Arial" w:cs="Arial"/>
          <w:sz w:val="12"/>
          <w:szCs w:val="12"/>
        </w:rPr>
        <w:t xml:space="preserve"> clinical management. J Infect. 2008 Aug;57(2):95</w:t>
      </w:r>
      <w:r w:rsidRPr="005D6DF1">
        <w:rPr>
          <w:rFonts w:ascii="Cambria Math" w:hAnsi="Cambria Math" w:cs="Cambria Math"/>
          <w:sz w:val="12"/>
          <w:szCs w:val="12"/>
        </w:rPr>
        <w:t>‐</w:t>
      </w:r>
      <w:r w:rsidRPr="005D6DF1">
        <w:rPr>
          <w:rFonts w:ascii="Arial" w:hAnsi="Arial" w:cs="Arial"/>
          <w:sz w:val="12"/>
          <w:szCs w:val="12"/>
        </w:rPr>
        <w:t>102.</w:t>
      </w:r>
      <w:r>
        <w:rPr>
          <w:rFonts w:ascii="Arial" w:hAnsi="Arial" w:cs="Arial"/>
          <w:sz w:val="12"/>
          <w:szCs w:val="12"/>
        </w:rPr>
        <w:t xml:space="preserve"> </w:t>
      </w:r>
      <w:hyperlink r:id="rId63" w:history="1">
        <w:r w:rsidRPr="007640D1">
          <w:rPr>
            <w:rStyle w:val="Hyperlink"/>
            <w:rFonts w:ascii="Arial" w:hAnsi="Arial" w:cs="Arial"/>
            <w:sz w:val="12"/>
            <w:szCs w:val="12"/>
          </w:rPr>
          <w:t>https://pubmed.ncbi.nlm.nih.gov/18555533/</w:t>
        </w:r>
      </w:hyperlink>
      <w:r>
        <w:rPr>
          <w:rFonts w:ascii="Arial" w:hAnsi="Arial" w:cs="Arial"/>
          <w:sz w:val="12"/>
          <w:szCs w:val="12"/>
        </w:rPr>
        <w:t xml:space="preserve"> </w:t>
      </w:r>
    </w:p>
  </w:endnote>
  <w:endnote w:id="43">
    <w:p w14:paraId="2B338351" w14:textId="5AF1EBE5" w:rsidR="00354AF5" w:rsidRPr="00C94625" w:rsidRDefault="00354AF5" w:rsidP="00084B09">
      <w:pPr>
        <w:pStyle w:val="EndnoteText"/>
        <w:tabs>
          <w:tab w:val="left" w:pos="180"/>
        </w:tabs>
        <w:rPr>
          <w:rFonts w:ascii="Arial" w:hAnsi="Arial" w:cs="Arial"/>
          <w:sz w:val="12"/>
          <w:szCs w:val="12"/>
        </w:rPr>
      </w:pPr>
      <w:r w:rsidRPr="0085135C">
        <w:rPr>
          <w:rStyle w:val="EndnoteReference"/>
          <w:rFonts w:ascii="Arial" w:hAnsi="Arial" w:cs="Arial"/>
          <w:sz w:val="12"/>
          <w:szCs w:val="12"/>
        </w:rPr>
        <w:endnoteRef/>
      </w:r>
      <w:r w:rsidRPr="0085135C">
        <w:rPr>
          <w:rFonts w:ascii="Arial" w:hAnsi="Arial" w:cs="Arial"/>
          <w:sz w:val="12"/>
          <w:szCs w:val="12"/>
        </w:rPr>
        <w:tab/>
      </w:r>
      <w:r>
        <w:rPr>
          <w:rFonts w:ascii="Arial" w:hAnsi="Arial" w:cs="Arial"/>
          <w:sz w:val="12"/>
          <w:szCs w:val="12"/>
        </w:rPr>
        <w:t xml:space="preserve">Aciclovir, IV - dose adjustment in renal impairment: </w:t>
      </w:r>
      <w:r w:rsidRPr="00C854C7">
        <w:rPr>
          <w:rFonts w:ascii="Arial" w:hAnsi="Arial" w:cs="Arial"/>
          <w:sz w:val="12"/>
          <w:szCs w:val="12"/>
        </w:rPr>
        <w:t>South African Medicines Formulary.  1</w:t>
      </w:r>
      <w:r>
        <w:rPr>
          <w:rFonts w:ascii="Arial" w:hAnsi="Arial" w:cs="Arial"/>
          <w:sz w:val="12"/>
          <w:szCs w:val="12"/>
        </w:rPr>
        <w:t>4</w:t>
      </w:r>
      <w:r w:rsidRPr="00C854C7">
        <w:rPr>
          <w:rFonts w:ascii="Arial" w:hAnsi="Arial" w:cs="Arial"/>
          <w:sz w:val="12"/>
          <w:szCs w:val="12"/>
        </w:rPr>
        <w:t>th Edition.  Division of Clinical Pharmacology.  University of Cape Town. 20</w:t>
      </w:r>
      <w:r>
        <w:rPr>
          <w:rFonts w:ascii="Arial" w:hAnsi="Arial" w:cs="Arial"/>
          <w:sz w:val="12"/>
          <w:szCs w:val="12"/>
        </w:rPr>
        <w:t>22</w:t>
      </w:r>
      <w:r w:rsidRPr="00C854C7">
        <w:rPr>
          <w:rFonts w:ascii="Arial" w:hAnsi="Arial" w:cs="Arial"/>
          <w:sz w:val="12"/>
          <w:szCs w:val="12"/>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0D19B" w14:textId="77777777" w:rsidR="00354AF5" w:rsidRDefault="00354AF5" w:rsidP="00B8157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17</w:t>
    </w:r>
    <w:r>
      <w:rPr>
        <w:rStyle w:val="PageNumber"/>
      </w:rPr>
      <w:fldChar w:fldCharType="end"/>
    </w:r>
  </w:p>
  <w:p w14:paraId="7B05F5C1" w14:textId="77777777" w:rsidR="00354AF5" w:rsidRDefault="00354AF5" w:rsidP="00B81570">
    <w:pPr>
      <w:pStyle w:val="Footer"/>
    </w:pPr>
  </w:p>
  <w:p w14:paraId="2EB1F423" w14:textId="77777777" w:rsidR="00354AF5" w:rsidRDefault="00354AF5" w:rsidP="006D4FB6"/>
  <w:p w14:paraId="7BEFA27A" w14:textId="77777777" w:rsidR="00354AF5" w:rsidRDefault="00354AF5" w:rsidP="006D4FB6"/>
  <w:p w14:paraId="33391244" w14:textId="77777777" w:rsidR="00354AF5" w:rsidRDefault="00354AF5" w:rsidP="006D4FB6"/>
  <w:p w14:paraId="2F7E7C91" w14:textId="77777777" w:rsidR="00354AF5" w:rsidRDefault="00354AF5" w:rsidP="006D4FB6"/>
  <w:p w14:paraId="227D938E" w14:textId="77777777" w:rsidR="00354AF5" w:rsidRDefault="00354AF5" w:rsidP="006D4FB6"/>
  <w:p w14:paraId="46927000" w14:textId="77777777" w:rsidR="00354AF5" w:rsidRDefault="00354AF5" w:rsidP="006D4FB6"/>
  <w:p w14:paraId="7ADF796D" w14:textId="77777777" w:rsidR="00354AF5" w:rsidRDefault="00354AF5" w:rsidP="006D4FB6"/>
  <w:p w14:paraId="6A424B19" w14:textId="77777777" w:rsidR="00354AF5" w:rsidRDefault="00354AF5" w:rsidP="006D4FB6"/>
  <w:p w14:paraId="0C47EBB5" w14:textId="77777777" w:rsidR="00354AF5" w:rsidRDefault="00354AF5" w:rsidP="006D4FB6"/>
  <w:p w14:paraId="3E2A2844" w14:textId="77777777" w:rsidR="00354AF5" w:rsidRDefault="00354AF5" w:rsidP="006D4FB6"/>
  <w:p w14:paraId="7257844E" w14:textId="77777777" w:rsidR="00354AF5" w:rsidRDefault="00354AF5" w:rsidP="006D4FB6"/>
  <w:p w14:paraId="227B88BE" w14:textId="77777777" w:rsidR="00354AF5" w:rsidRDefault="00354AF5" w:rsidP="006D4FB6"/>
  <w:p w14:paraId="7839A3C8" w14:textId="77777777" w:rsidR="00354AF5" w:rsidRDefault="00354AF5" w:rsidP="006D4FB6"/>
  <w:p w14:paraId="564D29CA" w14:textId="77777777" w:rsidR="00354AF5" w:rsidRDefault="00354AF5" w:rsidP="006D4FB6"/>
  <w:p w14:paraId="69490737" w14:textId="77777777" w:rsidR="00354AF5" w:rsidRDefault="00354AF5" w:rsidP="006D4FB6"/>
  <w:p w14:paraId="31A6CB35" w14:textId="77777777" w:rsidR="00354AF5" w:rsidRDefault="00354AF5" w:rsidP="006D4FB6"/>
  <w:p w14:paraId="66CE7E41" w14:textId="77777777" w:rsidR="00354AF5" w:rsidRDefault="00354AF5" w:rsidP="006D4FB6"/>
  <w:p w14:paraId="1ACE60D4" w14:textId="77777777" w:rsidR="00354AF5" w:rsidRDefault="00354AF5" w:rsidP="006D4FB6"/>
  <w:p w14:paraId="7A6556FD" w14:textId="77777777" w:rsidR="00354AF5" w:rsidRDefault="00354AF5" w:rsidP="006D4FB6"/>
  <w:p w14:paraId="1CC72E09" w14:textId="77777777" w:rsidR="00354AF5" w:rsidRDefault="00354AF5" w:rsidP="006D4FB6"/>
  <w:p w14:paraId="203DC824" w14:textId="77777777" w:rsidR="00354AF5" w:rsidRDefault="00354AF5" w:rsidP="006D4FB6"/>
  <w:p w14:paraId="7D33E1BE" w14:textId="77777777" w:rsidR="00354AF5" w:rsidRDefault="00354AF5" w:rsidP="006D4FB6"/>
  <w:p w14:paraId="4A683FF7" w14:textId="77777777" w:rsidR="00354AF5" w:rsidRDefault="00354AF5" w:rsidP="006D4FB6"/>
  <w:p w14:paraId="1C6AD002" w14:textId="77777777" w:rsidR="00354AF5" w:rsidRDefault="00354AF5" w:rsidP="006D4FB6"/>
  <w:p w14:paraId="48BA9812" w14:textId="77777777" w:rsidR="00354AF5" w:rsidRDefault="00354AF5" w:rsidP="006D4FB6"/>
  <w:p w14:paraId="3968BEFC" w14:textId="77777777" w:rsidR="00354AF5" w:rsidRDefault="00354AF5" w:rsidP="006D4FB6"/>
  <w:p w14:paraId="0273983A" w14:textId="77777777" w:rsidR="00354AF5" w:rsidRDefault="00354AF5" w:rsidP="006D4FB6"/>
  <w:p w14:paraId="27A391E8" w14:textId="77777777" w:rsidR="00354AF5" w:rsidRDefault="00354AF5" w:rsidP="006D4FB6"/>
  <w:p w14:paraId="49214AE6" w14:textId="77777777" w:rsidR="00354AF5" w:rsidRDefault="00354AF5" w:rsidP="006D4FB6"/>
  <w:p w14:paraId="1D432D54" w14:textId="77777777" w:rsidR="00354AF5" w:rsidRDefault="00354AF5" w:rsidP="006D4FB6"/>
  <w:p w14:paraId="352EA5D7" w14:textId="77777777" w:rsidR="00354AF5" w:rsidRDefault="00354AF5" w:rsidP="006D4FB6"/>
  <w:p w14:paraId="599CF708" w14:textId="77777777" w:rsidR="00354AF5" w:rsidRDefault="00354AF5" w:rsidP="006D4FB6"/>
  <w:p w14:paraId="75BDC425" w14:textId="77777777" w:rsidR="00354AF5" w:rsidRDefault="00354AF5" w:rsidP="006D4FB6"/>
  <w:p w14:paraId="0C1AC245" w14:textId="77777777" w:rsidR="00354AF5" w:rsidRDefault="00354AF5" w:rsidP="006D4FB6"/>
  <w:p w14:paraId="799B8A3C" w14:textId="77777777" w:rsidR="00354AF5" w:rsidRDefault="00354AF5" w:rsidP="006D4FB6"/>
  <w:p w14:paraId="5F131056" w14:textId="77777777" w:rsidR="00354AF5" w:rsidRDefault="00354AF5" w:rsidP="006D4FB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1F977" w14:textId="341DAAD4" w:rsidR="00354AF5" w:rsidRDefault="00B81570" w:rsidP="00B81570">
    <w:pPr>
      <w:pStyle w:val="Footer"/>
    </w:pPr>
    <w:r w:rsidRPr="00B81570">
      <w:t>AHCh9_Infect_</w:t>
    </w:r>
    <w:r w:rsidR="00FE52AC" w:rsidRPr="00B81570">
      <w:t>4</w:t>
    </w:r>
    <w:r w:rsidR="00FE52AC">
      <w:t>C</w:t>
    </w:r>
    <w:r w:rsidRPr="00B81570">
      <w:t>_20October2022</w:t>
    </w:r>
    <w:r>
      <w:tab/>
    </w:r>
    <w:r>
      <w:tab/>
    </w:r>
    <w:r w:rsidR="00354AF5">
      <w:tab/>
      <w:t>9.</w:t>
    </w:r>
    <w:r w:rsidR="00354AF5">
      <w:fldChar w:fldCharType="begin"/>
    </w:r>
    <w:r w:rsidR="00354AF5" w:rsidRPr="00E450DE">
      <w:instrText xml:space="preserve"> PAGE   \* MERGEFORMAT </w:instrText>
    </w:r>
    <w:r w:rsidR="00354AF5">
      <w:fldChar w:fldCharType="separate"/>
    </w:r>
    <w:r w:rsidR="004B6428">
      <w:rPr>
        <w:noProof/>
      </w:rPr>
      <w:t>21</w:t>
    </w:r>
    <w:r w:rsidR="00354AF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D1FCD" w14:textId="54CF2DCD" w:rsidR="00354AF5" w:rsidRDefault="0016172D" w:rsidP="00B81570">
    <w:pPr>
      <w:pStyle w:val="Footer"/>
    </w:pPr>
    <w:r w:rsidRPr="0016172D">
      <w:t>AHCh9_Infect_</w:t>
    </w:r>
    <w:r w:rsidR="00FA5AA5">
      <w:t>4C</w:t>
    </w:r>
    <w:r w:rsidR="00B81570">
      <w:t>_20October2022</w:t>
    </w:r>
    <w:r w:rsidR="003E52CC">
      <w:rPr>
        <w:lang w:val="en-US"/>
      </w:rPr>
      <w:tab/>
    </w:r>
    <w:r w:rsidR="00B81570">
      <w:rPr>
        <w:lang w:val="en-US"/>
      </w:rPr>
      <w:tab/>
    </w:r>
    <w:r w:rsidR="00B81570">
      <w:rPr>
        <w:lang w:val="en-US"/>
      </w:rPr>
      <w:tab/>
    </w:r>
    <w:r w:rsidR="00354AF5">
      <w:rPr>
        <w:lang w:val="en-US"/>
      </w:rPr>
      <w:t>9.</w:t>
    </w:r>
    <w:r w:rsidR="00354AF5">
      <w:fldChar w:fldCharType="begin"/>
    </w:r>
    <w:r w:rsidR="00354AF5" w:rsidRPr="0065124E">
      <w:instrText xml:space="preserve"> PAGE   \* MERGEFORMAT </w:instrText>
    </w:r>
    <w:r w:rsidR="00354AF5">
      <w:fldChar w:fldCharType="separate"/>
    </w:r>
    <w:r w:rsidR="004B6428">
      <w:rPr>
        <w:noProof/>
      </w:rPr>
      <w:t>1</w:t>
    </w:r>
    <w:r w:rsidR="00354AF5">
      <w:fldChar w:fldCharType="end"/>
    </w:r>
  </w:p>
  <w:p w14:paraId="45C9DF94" w14:textId="77777777" w:rsidR="00354AF5" w:rsidRDefault="00354AF5" w:rsidP="00B81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DCFA8" w14:textId="77777777" w:rsidR="00325343" w:rsidRDefault="00325343" w:rsidP="006D4FB6">
      <w:r>
        <w:separator/>
      </w:r>
    </w:p>
    <w:p w14:paraId="56C45777" w14:textId="77777777" w:rsidR="00325343" w:rsidRDefault="00325343" w:rsidP="006D4FB6"/>
    <w:p w14:paraId="455C5EC0" w14:textId="77777777" w:rsidR="00325343" w:rsidRDefault="00325343" w:rsidP="006D4FB6"/>
    <w:p w14:paraId="03ABC285" w14:textId="77777777" w:rsidR="00325343" w:rsidRDefault="00325343" w:rsidP="006D4FB6"/>
    <w:p w14:paraId="6F5228D4" w14:textId="77777777" w:rsidR="00325343" w:rsidRDefault="00325343" w:rsidP="006D4FB6"/>
    <w:p w14:paraId="3DF535EA" w14:textId="77777777" w:rsidR="00325343" w:rsidRDefault="00325343" w:rsidP="006D4FB6"/>
    <w:p w14:paraId="0322373D" w14:textId="77777777" w:rsidR="00325343" w:rsidRDefault="00325343" w:rsidP="006D4FB6"/>
    <w:p w14:paraId="52ADE1D8" w14:textId="77777777" w:rsidR="00325343" w:rsidRDefault="00325343" w:rsidP="006D4FB6"/>
    <w:p w14:paraId="73BE0EA2" w14:textId="77777777" w:rsidR="00325343" w:rsidRDefault="00325343" w:rsidP="006D4FB6"/>
    <w:p w14:paraId="5D4454A9" w14:textId="77777777" w:rsidR="00325343" w:rsidRDefault="00325343" w:rsidP="006D4FB6"/>
    <w:p w14:paraId="2170C252" w14:textId="77777777" w:rsidR="00325343" w:rsidRDefault="00325343" w:rsidP="006D4FB6"/>
    <w:p w14:paraId="7DDB7EFB" w14:textId="77777777" w:rsidR="00325343" w:rsidRDefault="00325343" w:rsidP="006D4FB6"/>
    <w:p w14:paraId="68A3500D" w14:textId="77777777" w:rsidR="00325343" w:rsidRDefault="00325343" w:rsidP="006D4FB6"/>
    <w:p w14:paraId="5C430014" w14:textId="77777777" w:rsidR="00325343" w:rsidRDefault="00325343" w:rsidP="006D4FB6"/>
    <w:p w14:paraId="1166D4B0" w14:textId="77777777" w:rsidR="00325343" w:rsidRDefault="00325343" w:rsidP="006D4FB6"/>
    <w:p w14:paraId="30FA1A1D" w14:textId="77777777" w:rsidR="00325343" w:rsidRDefault="00325343" w:rsidP="006D4FB6"/>
    <w:p w14:paraId="05C88A87" w14:textId="77777777" w:rsidR="00325343" w:rsidRDefault="00325343" w:rsidP="006D4FB6"/>
    <w:p w14:paraId="79771529" w14:textId="77777777" w:rsidR="00325343" w:rsidRDefault="00325343" w:rsidP="006D4FB6"/>
    <w:p w14:paraId="6873C7F8" w14:textId="77777777" w:rsidR="00325343" w:rsidRDefault="00325343" w:rsidP="006D4FB6"/>
    <w:p w14:paraId="3CCB5B85" w14:textId="77777777" w:rsidR="00325343" w:rsidRDefault="00325343" w:rsidP="006D4FB6"/>
    <w:p w14:paraId="6082E2C5" w14:textId="77777777" w:rsidR="00325343" w:rsidRDefault="00325343" w:rsidP="006D4FB6"/>
    <w:p w14:paraId="18427729" w14:textId="77777777" w:rsidR="00325343" w:rsidRDefault="00325343" w:rsidP="006D4FB6"/>
    <w:p w14:paraId="48E22055" w14:textId="77777777" w:rsidR="00325343" w:rsidRDefault="00325343" w:rsidP="006D4FB6"/>
    <w:p w14:paraId="25FF3ED0" w14:textId="77777777" w:rsidR="00325343" w:rsidRDefault="00325343" w:rsidP="006D4FB6"/>
    <w:p w14:paraId="4C19748C" w14:textId="77777777" w:rsidR="00325343" w:rsidRDefault="00325343" w:rsidP="006D4FB6"/>
    <w:p w14:paraId="0799078A" w14:textId="77777777" w:rsidR="00325343" w:rsidRDefault="00325343" w:rsidP="006D4FB6"/>
    <w:p w14:paraId="14C2E318" w14:textId="77777777" w:rsidR="00325343" w:rsidRDefault="00325343" w:rsidP="006D4FB6"/>
    <w:p w14:paraId="138EDEC5" w14:textId="77777777" w:rsidR="00325343" w:rsidRDefault="00325343" w:rsidP="006D4FB6"/>
    <w:p w14:paraId="6B04F73E" w14:textId="77777777" w:rsidR="00325343" w:rsidRDefault="00325343" w:rsidP="006D4FB6"/>
    <w:p w14:paraId="388DF0E5" w14:textId="77777777" w:rsidR="00325343" w:rsidRDefault="00325343" w:rsidP="006D4FB6"/>
    <w:p w14:paraId="385F6645" w14:textId="77777777" w:rsidR="00325343" w:rsidRDefault="00325343" w:rsidP="006D4FB6"/>
    <w:p w14:paraId="3EE3402E" w14:textId="77777777" w:rsidR="00325343" w:rsidRDefault="00325343" w:rsidP="006D4FB6"/>
    <w:p w14:paraId="2F21F9C2" w14:textId="77777777" w:rsidR="00325343" w:rsidRDefault="00325343" w:rsidP="006D4FB6"/>
    <w:p w14:paraId="4577412C" w14:textId="77777777" w:rsidR="00325343" w:rsidRDefault="00325343" w:rsidP="006D4FB6"/>
    <w:p w14:paraId="0B0C0995" w14:textId="77777777" w:rsidR="00325343" w:rsidRDefault="00325343" w:rsidP="006D4FB6"/>
    <w:p w14:paraId="67D84F60" w14:textId="77777777" w:rsidR="00325343" w:rsidRDefault="00325343" w:rsidP="006D4FB6"/>
    <w:p w14:paraId="706A0331" w14:textId="77777777" w:rsidR="00325343" w:rsidRDefault="00325343" w:rsidP="006D4FB6"/>
  </w:footnote>
  <w:footnote w:type="continuationSeparator" w:id="0">
    <w:p w14:paraId="3B086A48" w14:textId="77777777" w:rsidR="00325343" w:rsidRDefault="00325343" w:rsidP="006D4FB6">
      <w:r>
        <w:continuationSeparator/>
      </w:r>
    </w:p>
    <w:p w14:paraId="4CE216A2" w14:textId="77777777" w:rsidR="00325343" w:rsidRDefault="00325343" w:rsidP="006D4FB6"/>
    <w:p w14:paraId="188B33D3" w14:textId="77777777" w:rsidR="00325343" w:rsidRDefault="00325343" w:rsidP="006D4FB6"/>
    <w:p w14:paraId="2F4FD981" w14:textId="77777777" w:rsidR="00325343" w:rsidRDefault="00325343" w:rsidP="006D4FB6"/>
    <w:p w14:paraId="2557F804" w14:textId="77777777" w:rsidR="00325343" w:rsidRDefault="00325343" w:rsidP="006D4FB6"/>
    <w:p w14:paraId="3AD2763D" w14:textId="77777777" w:rsidR="00325343" w:rsidRDefault="00325343" w:rsidP="006D4FB6"/>
    <w:p w14:paraId="370ED242" w14:textId="77777777" w:rsidR="00325343" w:rsidRDefault="00325343" w:rsidP="006D4FB6"/>
    <w:p w14:paraId="4EA50E7C" w14:textId="77777777" w:rsidR="00325343" w:rsidRDefault="00325343" w:rsidP="006D4FB6"/>
    <w:p w14:paraId="2D298317" w14:textId="77777777" w:rsidR="00325343" w:rsidRDefault="00325343" w:rsidP="006D4FB6"/>
    <w:p w14:paraId="2C96CD3E" w14:textId="77777777" w:rsidR="00325343" w:rsidRDefault="00325343" w:rsidP="006D4FB6"/>
    <w:p w14:paraId="304C8CBB" w14:textId="77777777" w:rsidR="00325343" w:rsidRDefault="00325343" w:rsidP="006D4FB6"/>
    <w:p w14:paraId="03BFA72C" w14:textId="77777777" w:rsidR="00325343" w:rsidRDefault="00325343" w:rsidP="006D4FB6"/>
    <w:p w14:paraId="6A7CF02A" w14:textId="77777777" w:rsidR="00325343" w:rsidRDefault="00325343" w:rsidP="006D4FB6"/>
    <w:p w14:paraId="56166967" w14:textId="77777777" w:rsidR="00325343" w:rsidRDefault="00325343" w:rsidP="006D4FB6"/>
    <w:p w14:paraId="34D66EB5" w14:textId="77777777" w:rsidR="00325343" w:rsidRDefault="00325343" w:rsidP="006D4FB6"/>
    <w:p w14:paraId="2161EAE0" w14:textId="77777777" w:rsidR="00325343" w:rsidRDefault="00325343" w:rsidP="006D4FB6"/>
    <w:p w14:paraId="447C540A" w14:textId="77777777" w:rsidR="00325343" w:rsidRDefault="00325343" w:rsidP="006D4FB6"/>
    <w:p w14:paraId="70B0D41A" w14:textId="77777777" w:rsidR="00325343" w:rsidRDefault="00325343" w:rsidP="006D4FB6"/>
    <w:p w14:paraId="4AC5ECCB" w14:textId="77777777" w:rsidR="00325343" w:rsidRDefault="00325343" w:rsidP="006D4FB6"/>
    <w:p w14:paraId="261A119F" w14:textId="77777777" w:rsidR="00325343" w:rsidRDefault="00325343" w:rsidP="006D4FB6"/>
    <w:p w14:paraId="5122CD7D" w14:textId="77777777" w:rsidR="00325343" w:rsidRDefault="00325343" w:rsidP="006D4FB6"/>
    <w:p w14:paraId="3F320E40" w14:textId="77777777" w:rsidR="00325343" w:rsidRDefault="00325343" w:rsidP="006D4FB6"/>
    <w:p w14:paraId="7E597EEB" w14:textId="77777777" w:rsidR="00325343" w:rsidRDefault="00325343" w:rsidP="006D4FB6"/>
    <w:p w14:paraId="4A66FD20" w14:textId="77777777" w:rsidR="00325343" w:rsidRDefault="00325343" w:rsidP="006D4FB6"/>
    <w:p w14:paraId="6C0982EC" w14:textId="77777777" w:rsidR="00325343" w:rsidRDefault="00325343" w:rsidP="006D4FB6"/>
    <w:p w14:paraId="43F090D2" w14:textId="77777777" w:rsidR="00325343" w:rsidRDefault="00325343" w:rsidP="006D4FB6"/>
    <w:p w14:paraId="7EF09024" w14:textId="77777777" w:rsidR="00325343" w:rsidRDefault="00325343" w:rsidP="006D4FB6"/>
    <w:p w14:paraId="6DD6BCB2" w14:textId="77777777" w:rsidR="00325343" w:rsidRDefault="00325343" w:rsidP="006D4FB6"/>
    <w:p w14:paraId="6211F02C" w14:textId="77777777" w:rsidR="00325343" w:rsidRDefault="00325343" w:rsidP="006D4FB6"/>
    <w:p w14:paraId="6537BD65" w14:textId="77777777" w:rsidR="00325343" w:rsidRDefault="00325343" w:rsidP="006D4FB6"/>
    <w:p w14:paraId="2669BDBC" w14:textId="77777777" w:rsidR="00325343" w:rsidRDefault="00325343" w:rsidP="006D4FB6"/>
    <w:p w14:paraId="41A09A4E" w14:textId="77777777" w:rsidR="00325343" w:rsidRDefault="00325343" w:rsidP="006D4FB6"/>
    <w:p w14:paraId="494C8757" w14:textId="77777777" w:rsidR="00325343" w:rsidRDefault="00325343" w:rsidP="006D4FB6"/>
    <w:p w14:paraId="17F0E8C1" w14:textId="77777777" w:rsidR="00325343" w:rsidRDefault="00325343" w:rsidP="006D4FB6"/>
    <w:p w14:paraId="101DE6EB" w14:textId="77777777" w:rsidR="00325343" w:rsidRDefault="00325343" w:rsidP="006D4FB6"/>
    <w:p w14:paraId="66307EB0" w14:textId="77777777" w:rsidR="00325343" w:rsidRDefault="00325343" w:rsidP="006D4FB6"/>
    <w:p w14:paraId="6D79246A" w14:textId="77777777" w:rsidR="00325343" w:rsidRDefault="00325343" w:rsidP="006D4F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39D2C" w14:textId="13130B9F" w:rsidR="00354AF5" w:rsidRDefault="00000000" w:rsidP="006D4FB6">
    <w:pPr>
      <w:pStyle w:val="Header"/>
    </w:pPr>
    <w:r>
      <w:rPr>
        <w:noProof/>
      </w:rPr>
      <w:pict w14:anchorId="2FC77C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4196610" o:spid="_x0000_s1026" type="#_x0000_t136" style="position:absolute;left:0;text-align:left;margin-left:0;margin-top:0;width:380.85pt;height:50.75pt;rotation:315;z-index:-251655168;mso-position-horizontal:center;mso-position-horizontal-relative:margin;mso-position-vertical:center;mso-position-vertical-relative:margin" o:allowincell="f" fillcolor="silver" stroked="f">
          <v:fill opacity=".5"/>
          <v:textpath style="font-family:&quot;Arial&quot;;font-size:1pt" string="FOR COMMENT"/>
          <w10:wrap anchorx="margin" anchory="margin"/>
        </v:shape>
      </w:pict>
    </w:r>
  </w:p>
  <w:p w14:paraId="40817368" w14:textId="77777777" w:rsidR="00354AF5" w:rsidRDefault="00354AF5" w:rsidP="006D4FB6"/>
  <w:p w14:paraId="41352F21" w14:textId="77777777" w:rsidR="00354AF5" w:rsidRDefault="00354AF5" w:rsidP="006D4FB6"/>
  <w:p w14:paraId="305DD05E" w14:textId="77777777" w:rsidR="00354AF5" w:rsidRDefault="00354AF5" w:rsidP="006D4FB6"/>
  <w:p w14:paraId="1A0F75A6" w14:textId="77777777" w:rsidR="00354AF5" w:rsidRDefault="00354AF5" w:rsidP="006D4FB6"/>
  <w:p w14:paraId="5E21306D" w14:textId="77777777" w:rsidR="00354AF5" w:rsidRDefault="00354AF5" w:rsidP="006D4FB6"/>
  <w:p w14:paraId="3A4BBE9C" w14:textId="77777777" w:rsidR="00354AF5" w:rsidRDefault="00354AF5" w:rsidP="006D4FB6"/>
  <w:p w14:paraId="06DC2790" w14:textId="77777777" w:rsidR="00354AF5" w:rsidRDefault="00354AF5" w:rsidP="006D4FB6"/>
  <w:p w14:paraId="46E67E54" w14:textId="77777777" w:rsidR="00354AF5" w:rsidRDefault="00354AF5" w:rsidP="006D4FB6"/>
  <w:p w14:paraId="13892D24" w14:textId="77777777" w:rsidR="00354AF5" w:rsidRDefault="00354AF5" w:rsidP="006D4FB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88C5" w14:textId="5673450B" w:rsidR="00354AF5" w:rsidRPr="00F87E0C" w:rsidRDefault="00000000" w:rsidP="002E1F9B">
    <w:pPr>
      <w:pBdr>
        <w:bottom w:val="single" w:sz="12" w:space="1" w:color="auto"/>
      </w:pBdr>
      <w:tabs>
        <w:tab w:val="clear" w:pos="2977"/>
        <w:tab w:val="left" w:pos="1620"/>
      </w:tabs>
      <w:spacing w:after="120"/>
      <w:jc w:val="center"/>
      <w:rPr>
        <w:b/>
        <w:sz w:val="16"/>
        <w:szCs w:val="16"/>
      </w:rPr>
    </w:pPr>
    <w:r>
      <w:rPr>
        <w:noProof/>
      </w:rPr>
      <w:pict w14:anchorId="7B1101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4196611" o:spid="_x0000_s1027" type="#_x0000_t136" style="position:absolute;left:0;text-align:left;margin-left:0;margin-top:0;width:380.85pt;height:50.75pt;rotation:315;z-index:-251653120;mso-position-horizontal:center;mso-position-horizontal-relative:margin;mso-position-vertical:center;mso-position-vertical-relative:margin" o:allowincell="f" fillcolor="silver" stroked="f">
          <v:fill opacity=".5"/>
          <v:textpath style="font-family:&quot;Arial&quot;;font-size:1pt" string="FOR COMMENT"/>
          <w10:wrap anchorx="margin" anchory="margin"/>
        </v:shape>
      </w:pict>
    </w:r>
    <w:r w:rsidR="00354AF5" w:rsidRPr="00F87E0C">
      <w:rPr>
        <w:b/>
        <w:sz w:val="16"/>
        <w:szCs w:val="16"/>
      </w:rPr>
      <w:t>CHAPTER 9</w:t>
    </w:r>
    <w:r w:rsidR="00354AF5" w:rsidRPr="00F87E0C">
      <w:rPr>
        <w:b/>
        <w:sz w:val="16"/>
        <w:szCs w:val="16"/>
      </w:rPr>
      <w:tab/>
      <w:t xml:space="preserve">SYSTEMIC AND </w:t>
    </w:r>
    <w:r w:rsidR="00354AF5">
      <w:rPr>
        <w:b/>
        <w:sz w:val="16"/>
        <w:szCs w:val="16"/>
      </w:rPr>
      <w:t>HEALTHCARE-ASSOCIATED</w:t>
    </w:r>
    <w:r w:rsidR="00354AF5" w:rsidRPr="00F87E0C">
      <w:rPr>
        <w:b/>
        <w:sz w:val="16"/>
        <w:szCs w:val="16"/>
      </w:rPr>
      <w:t xml:space="preserve"> INFECTIONS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FFACE" w14:textId="0BA8B904" w:rsidR="00354AF5" w:rsidRPr="00DA2E18" w:rsidRDefault="00000000" w:rsidP="006D4FB6">
    <w:pPr>
      <w:pStyle w:val="Header"/>
      <w:pBdr>
        <w:bottom w:val="none" w:sz="0" w:space="0" w:color="auto"/>
      </w:pBdr>
    </w:pPr>
    <w:r>
      <w:rPr>
        <w:noProof/>
      </w:rPr>
      <w:pict w14:anchorId="4433A0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4196609" o:spid="_x0000_s1025" type="#_x0000_t136" style="position:absolute;left:0;text-align:left;margin-left:0;margin-top:0;width:380.85pt;height:50.75pt;rotation:315;z-index:-251657216;mso-position-horizontal:center;mso-position-horizontal-relative:margin;mso-position-vertical:center;mso-position-vertical-relative:margin" o:allowincell="f" fillcolor="silver" stroked="f">
          <v:fill opacity=".5"/>
          <v:textpath style="font-family:&quot;Arial&quot;;font-size:1pt" string="FOR COMMENT"/>
          <w10:wrap anchorx="margin" anchory="margin"/>
        </v:shape>
      </w:pict>
    </w:r>
  </w:p>
  <w:p w14:paraId="7BE557F2" w14:textId="7FEBB26F" w:rsidR="00354AF5" w:rsidRPr="00DA2E18" w:rsidRDefault="00354AF5" w:rsidP="006D4FB6">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0"/>
    <w:lvl w:ilvl="0">
      <w:start w:val="1"/>
      <w:numFmt w:val="lowerLetter"/>
      <w:pStyle w:val="Level1"/>
      <w:lvlText w:val="%1."/>
      <w:lvlJc w:val="left"/>
      <w:pPr>
        <w:tabs>
          <w:tab w:val="num" w:pos="720"/>
        </w:tabs>
        <w:ind w:left="72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2842DA7"/>
    <w:multiLevelType w:val="hybridMultilevel"/>
    <w:tmpl w:val="08922116"/>
    <w:lvl w:ilvl="0" w:tplc="AFF4BE8C">
      <w:numFmt w:val="none"/>
      <w:lvlText w:val="»"/>
      <w:lvlJc w:val="left"/>
      <w:pPr>
        <w:tabs>
          <w:tab w:val="num" w:pos="408"/>
        </w:tabs>
        <w:ind w:left="48" w:firstLine="0"/>
      </w:pPr>
      <w:rPr>
        <w:rFonts w:hint="default"/>
        <w:sz w:val="18"/>
        <w:szCs w:val="18"/>
      </w:r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2" w15:restartNumberingAfterBreak="0">
    <w:nsid w:val="02E653DA"/>
    <w:multiLevelType w:val="hybridMultilevel"/>
    <w:tmpl w:val="90BAAD2E"/>
    <w:lvl w:ilvl="0" w:tplc="379852AE">
      <w:start w:val="1"/>
      <w:numFmt w:val="bullet"/>
      <w:lvlText w:val=""/>
      <w:lvlJc w:val="left"/>
      <w:pPr>
        <w:ind w:left="360" w:hanging="360"/>
      </w:pPr>
      <w:rPr>
        <w:rFonts w:ascii="Wingdings" w:hAnsi="Wingdings" w:hint="default"/>
        <w:sz w:val="18"/>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06D4250E"/>
    <w:multiLevelType w:val="hybridMultilevel"/>
    <w:tmpl w:val="614C2C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AA64075"/>
    <w:multiLevelType w:val="hybridMultilevel"/>
    <w:tmpl w:val="39C49638"/>
    <w:lvl w:ilvl="0" w:tplc="FFFFFFFF">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EA45F29"/>
    <w:multiLevelType w:val="hybridMultilevel"/>
    <w:tmpl w:val="D7CE9E04"/>
    <w:lvl w:ilvl="0" w:tplc="1C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C2448F"/>
    <w:multiLevelType w:val="hybridMultilevel"/>
    <w:tmpl w:val="E6E2F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2D6A5E"/>
    <w:multiLevelType w:val="hybridMultilevel"/>
    <w:tmpl w:val="75CCB2A8"/>
    <w:lvl w:ilvl="0" w:tplc="44CA8D9C">
      <w:start w:val="1"/>
      <w:numFmt w:val="bullet"/>
      <w:pStyle w:val="ep0"/>
      <w:lvlText w:val="o"/>
      <w:lvlJc w:val="left"/>
      <w:pPr>
        <w:tabs>
          <w:tab w:val="num" w:pos="1800"/>
        </w:tabs>
        <w:ind w:left="180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4533D9"/>
    <w:multiLevelType w:val="hybridMultilevel"/>
    <w:tmpl w:val="9DFC426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27C74009"/>
    <w:multiLevelType w:val="hybridMultilevel"/>
    <w:tmpl w:val="BD168C2C"/>
    <w:lvl w:ilvl="0" w:tplc="1C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AC6BF8"/>
    <w:multiLevelType w:val="hybridMultilevel"/>
    <w:tmpl w:val="BE6E0FF6"/>
    <w:lvl w:ilvl="0" w:tplc="A740D490">
      <w:start w:val="1"/>
      <w:numFmt w:val="bullet"/>
      <w:lvlText w:val="o"/>
      <w:lvlJc w:val="left"/>
      <w:pPr>
        <w:ind w:left="720" w:hanging="360"/>
      </w:pPr>
      <w:rPr>
        <w:rFonts w:ascii="Courier New" w:hAnsi="Courier New" w:hint="default"/>
        <w:sz w:val="18"/>
        <w:szCs w:val="18"/>
      </w:rPr>
    </w:lvl>
    <w:lvl w:ilvl="1" w:tplc="1C090003" w:tentative="1">
      <w:start w:val="1"/>
      <w:numFmt w:val="bullet"/>
      <w:lvlText w:val="o"/>
      <w:lvlJc w:val="left"/>
      <w:pPr>
        <w:ind w:left="1440" w:hanging="360"/>
      </w:pPr>
      <w:rPr>
        <w:rFonts w:ascii="Courier New" w:hAnsi="Courier New"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Arial"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Arial"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F046ADF"/>
    <w:multiLevelType w:val="hybridMultilevel"/>
    <w:tmpl w:val="89621908"/>
    <w:lvl w:ilvl="0" w:tplc="04090003">
      <w:start w:val="1"/>
      <w:numFmt w:val="bullet"/>
      <w:lvlText w:val="o"/>
      <w:lvlJc w:val="left"/>
      <w:pPr>
        <w:ind w:left="720" w:hanging="360"/>
      </w:pPr>
      <w:rPr>
        <w:rFonts w:ascii="Courier New" w:hAnsi="Courier New" w:hint="default"/>
      </w:rPr>
    </w:lvl>
    <w:lvl w:ilvl="1" w:tplc="2B30180E">
      <w:start w:val="1"/>
      <w:numFmt w:val="bullet"/>
      <w:lvlText w:val="-"/>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Arial"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Arial"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3B150AD"/>
    <w:multiLevelType w:val="hybridMultilevel"/>
    <w:tmpl w:val="394EC72C"/>
    <w:lvl w:ilvl="0" w:tplc="91F03BE6">
      <w:numFmt w:val="none"/>
      <w:pStyle w:val="Textbullet"/>
      <w:lvlText w:val="»"/>
      <w:lvlJc w:val="left"/>
      <w:pPr>
        <w:ind w:left="360" w:hanging="360"/>
      </w:pPr>
      <w:rPr>
        <w:rFonts w:hint="default"/>
        <w:color w:val="auto"/>
      </w:rPr>
    </w:lvl>
    <w:lvl w:ilvl="1" w:tplc="1EB45E38">
      <w:numFmt w:val="bullet"/>
      <w:lvlText w:val="&gt;"/>
      <w:lvlJc w:val="left"/>
      <w:pPr>
        <w:ind w:left="1080" w:hanging="360"/>
      </w:pPr>
      <w:rPr>
        <w:rFonts w:ascii="Courier New" w:hAnsi="Courier New" w:hint="default"/>
        <w:b/>
        <w:i w:val="0"/>
        <w:sz w:val="14"/>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Arial"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Arial"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3D2C7C57"/>
    <w:multiLevelType w:val="singleLevel"/>
    <w:tmpl w:val="791EE6C6"/>
    <w:lvl w:ilvl="0">
      <w:start w:val="1"/>
      <w:numFmt w:val="bullet"/>
      <w:lvlText w:val=""/>
      <w:lvlJc w:val="left"/>
      <w:pPr>
        <w:ind w:left="360" w:hanging="360"/>
      </w:pPr>
      <w:rPr>
        <w:rFonts w:ascii="Symbol" w:hAnsi="Symbol" w:hint="default"/>
        <w:b w:val="0"/>
        <w:i w:val="0"/>
        <w:color w:val="000000"/>
        <w:sz w:val="18"/>
      </w:rPr>
    </w:lvl>
  </w:abstractNum>
  <w:abstractNum w:abstractNumId="14" w15:restartNumberingAfterBreak="0">
    <w:nsid w:val="3D3D1107"/>
    <w:multiLevelType w:val="hybridMultilevel"/>
    <w:tmpl w:val="78AC03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406767E8"/>
    <w:multiLevelType w:val="hybridMultilevel"/>
    <w:tmpl w:val="3290317E"/>
    <w:lvl w:ilvl="0" w:tplc="AFF4BE8C">
      <w:numFmt w:val="none"/>
      <w:lvlText w:val="»"/>
      <w:lvlJc w:val="left"/>
      <w:pPr>
        <w:ind w:left="360" w:hanging="360"/>
      </w:pPr>
      <w:rPr>
        <w:rFonts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5A06F2"/>
    <w:multiLevelType w:val="hybridMultilevel"/>
    <w:tmpl w:val="88A6D600"/>
    <w:lvl w:ilvl="0" w:tplc="5CA0C4A8">
      <w:start w:val="1"/>
      <w:numFmt w:val="bullet"/>
      <w:pStyle w:val="ep4"/>
      <w:lvlText w:val=""/>
      <w:lvlJc w:val="left"/>
      <w:pPr>
        <w:tabs>
          <w:tab w:val="num" w:pos="1800"/>
        </w:tabs>
        <w:ind w:left="172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4E0BEC"/>
    <w:multiLevelType w:val="hybridMultilevel"/>
    <w:tmpl w:val="370050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8A59D2"/>
    <w:multiLevelType w:val="multilevel"/>
    <w:tmpl w:val="35CC63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3D84A85"/>
    <w:multiLevelType w:val="hybridMultilevel"/>
    <w:tmpl w:val="27462D1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15:restartNumberingAfterBreak="0">
    <w:nsid w:val="54C3000E"/>
    <w:multiLevelType w:val="hybridMultilevel"/>
    <w:tmpl w:val="6C3A6CB8"/>
    <w:lvl w:ilvl="0" w:tplc="48E00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9235E3"/>
    <w:multiLevelType w:val="hybridMultilevel"/>
    <w:tmpl w:val="18827774"/>
    <w:lvl w:ilvl="0" w:tplc="48E00C04">
      <w:start w:val="1"/>
      <w:numFmt w:val="bullet"/>
      <w:lvlText w:val="o"/>
      <w:lvlJc w:val="left"/>
      <w:pPr>
        <w:ind w:left="644" w:hanging="360"/>
      </w:pPr>
      <w:rPr>
        <w:rFonts w:ascii="Courier New" w:hAnsi="Courier New" w:cs="Courier New"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5C42101F"/>
    <w:multiLevelType w:val="hybridMultilevel"/>
    <w:tmpl w:val="4BAA25F2"/>
    <w:lvl w:ilvl="0" w:tplc="2B30180E">
      <w:start w:val="1"/>
      <w:numFmt w:val="bullet"/>
      <w:lvlText w:val="-"/>
      <w:lvlJc w:val="left"/>
      <w:pPr>
        <w:ind w:left="360" w:hanging="360"/>
      </w:pPr>
      <w:rPr>
        <w:rFonts w:ascii="Courier New" w:hAnsi="Courier New"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15:restartNumberingAfterBreak="0">
    <w:nsid w:val="61122A5A"/>
    <w:multiLevelType w:val="hybridMultilevel"/>
    <w:tmpl w:val="FD58D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8C71D6"/>
    <w:multiLevelType w:val="hybridMultilevel"/>
    <w:tmpl w:val="611CDF30"/>
    <w:lvl w:ilvl="0" w:tplc="1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BF731A7"/>
    <w:multiLevelType w:val="multilevel"/>
    <w:tmpl w:val="BDA4EB8A"/>
    <w:lvl w:ilvl="0">
      <w:start w:val="1"/>
      <w:numFmt w:val="bullet"/>
      <w:pStyle w:val="BulletMedicine"/>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C745B1F"/>
    <w:multiLevelType w:val="singleLevel"/>
    <w:tmpl w:val="C33A0A78"/>
    <w:lvl w:ilvl="0">
      <w:start w:val="1"/>
      <w:numFmt w:val="bullet"/>
      <w:pStyle w:val="Textbullet2"/>
      <w:lvlText w:val=""/>
      <w:lvlJc w:val="left"/>
      <w:pPr>
        <w:tabs>
          <w:tab w:val="num" w:pos="360"/>
        </w:tabs>
        <w:ind w:left="340" w:hanging="340"/>
      </w:pPr>
      <w:rPr>
        <w:rFonts w:ascii="Symbol" w:hAnsi="Symbol" w:hint="default"/>
        <w:sz w:val="12"/>
      </w:rPr>
    </w:lvl>
  </w:abstractNum>
  <w:abstractNum w:abstractNumId="27" w15:restartNumberingAfterBreak="0">
    <w:nsid w:val="6C8C123C"/>
    <w:multiLevelType w:val="hybridMultilevel"/>
    <w:tmpl w:val="2680843C"/>
    <w:lvl w:ilvl="0" w:tplc="1C090001">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C117CB"/>
    <w:multiLevelType w:val="singleLevel"/>
    <w:tmpl w:val="1C090005"/>
    <w:lvl w:ilvl="0">
      <w:start w:val="1"/>
      <w:numFmt w:val="bullet"/>
      <w:lvlText w:val=""/>
      <w:lvlJc w:val="left"/>
      <w:pPr>
        <w:ind w:left="360" w:hanging="360"/>
      </w:pPr>
      <w:rPr>
        <w:rFonts w:ascii="Wingdings" w:hAnsi="Wingdings" w:hint="default"/>
        <w:b w:val="0"/>
        <w:i w:val="0"/>
        <w:color w:val="000000"/>
        <w:sz w:val="18"/>
      </w:rPr>
    </w:lvl>
  </w:abstractNum>
  <w:abstractNum w:abstractNumId="29" w15:restartNumberingAfterBreak="0">
    <w:nsid w:val="7B291627"/>
    <w:multiLevelType w:val="hybridMultilevel"/>
    <w:tmpl w:val="15FE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035AFE"/>
    <w:multiLevelType w:val="singleLevel"/>
    <w:tmpl w:val="1C090003"/>
    <w:lvl w:ilvl="0">
      <w:start w:val="1"/>
      <w:numFmt w:val="bullet"/>
      <w:lvlText w:val="o"/>
      <w:lvlJc w:val="left"/>
      <w:pPr>
        <w:ind w:left="360" w:hanging="360"/>
      </w:pPr>
      <w:rPr>
        <w:rFonts w:ascii="Courier New" w:hAnsi="Courier New" w:cs="Courier New" w:hint="default"/>
        <w:b w:val="0"/>
        <w:i w:val="0"/>
        <w:color w:val="000000"/>
        <w:sz w:val="18"/>
      </w:rPr>
    </w:lvl>
  </w:abstractNum>
  <w:num w:numId="1" w16cid:durableId="74148709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939016775">
    <w:abstractNumId w:val="26"/>
  </w:num>
  <w:num w:numId="3" w16cid:durableId="437988981">
    <w:abstractNumId w:val="13"/>
  </w:num>
  <w:num w:numId="4" w16cid:durableId="1531996048">
    <w:abstractNumId w:val="7"/>
  </w:num>
  <w:num w:numId="5" w16cid:durableId="997340381">
    <w:abstractNumId w:val="16"/>
  </w:num>
  <w:num w:numId="6" w16cid:durableId="1819105619">
    <w:abstractNumId w:val="12"/>
  </w:num>
  <w:num w:numId="7" w16cid:durableId="405150284">
    <w:abstractNumId w:val="10"/>
  </w:num>
  <w:num w:numId="8" w16cid:durableId="812673274">
    <w:abstractNumId w:val="11"/>
  </w:num>
  <w:num w:numId="9" w16cid:durableId="1141079009">
    <w:abstractNumId w:val="20"/>
  </w:num>
  <w:num w:numId="10" w16cid:durableId="1895041083">
    <w:abstractNumId w:val="21"/>
  </w:num>
  <w:num w:numId="11" w16cid:durableId="606545312">
    <w:abstractNumId w:val="23"/>
  </w:num>
  <w:num w:numId="12" w16cid:durableId="131140257">
    <w:abstractNumId w:val="17"/>
  </w:num>
  <w:num w:numId="13" w16cid:durableId="237979646">
    <w:abstractNumId w:val="6"/>
  </w:num>
  <w:num w:numId="14" w16cid:durableId="762648296">
    <w:abstractNumId w:val="14"/>
  </w:num>
  <w:num w:numId="15" w16cid:durableId="537477502">
    <w:abstractNumId w:val="19"/>
  </w:num>
  <w:num w:numId="16" w16cid:durableId="808010418">
    <w:abstractNumId w:val="8"/>
  </w:num>
  <w:num w:numId="17" w16cid:durableId="840581120">
    <w:abstractNumId w:val="4"/>
  </w:num>
  <w:num w:numId="18" w16cid:durableId="493299581">
    <w:abstractNumId w:val="18"/>
  </w:num>
  <w:num w:numId="19" w16cid:durableId="115483180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709175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911651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92841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630037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9172158">
    <w:abstractNumId w:val="3"/>
  </w:num>
  <w:num w:numId="25" w16cid:durableId="707528011">
    <w:abstractNumId w:val="12"/>
  </w:num>
  <w:num w:numId="26" w16cid:durableId="1961492736">
    <w:abstractNumId w:val="12"/>
  </w:num>
  <w:num w:numId="27" w16cid:durableId="109975850">
    <w:abstractNumId w:val="30"/>
  </w:num>
  <w:num w:numId="28" w16cid:durableId="249582889">
    <w:abstractNumId w:val="5"/>
  </w:num>
  <w:num w:numId="29" w16cid:durableId="1099912039">
    <w:abstractNumId w:val="27"/>
  </w:num>
  <w:num w:numId="30" w16cid:durableId="1580870560">
    <w:abstractNumId w:val="1"/>
  </w:num>
  <w:num w:numId="31" w16cid:durableId="1106847156">
    <w:abstractNumId w:val="24"/>
  </w:num>
  <w:num w:numId="32" w16cid:durableId="984969430">
    <w:abstractNumId w:val="22"/>
  </w:num>
  <w:num w:numId="33" w16cid:durableId="1046904412">
    <w:abstractNumId w:val="2"/>
  </w:num>
  <w:num w:numId="34" w16cid:durableId="2002268045">
    <w:abstractNumId w:val="12"/>
  </w:num>
  <w:num w:numId="35" w16cid:durableId="1887989586">
    <w:abstractNumId w:val="29"/>
  </w:num>
  <w:num w:numId="36" w16cid:durableId="1241140713">
    <w:abstractNumId w:val="28"/>
  </w:num>
  <w:num w:numId="37" w16cid:durableId="1799912451">
    <w:abstractNumId w:val="9"/>
  </w:num>
  <w:num w:numId="38" w16cid:durableId="1834636402">
    <w:abstractNumId w:val="25"/>
  </w:num>
  <w:num w:numId="39" w16cid:durableId="74520985">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81"/>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569"/>
    <w:rsid w:val="000018CA"/>
    <w:rsid w:val="00001A36"/>
    <w:rsid w:val="00005188"/>
    <w:rsid w:val="00005305"/>
    <w:rsid w:val="000059C5"/>
    <w:rsid w:val="0000666A"/>
    <w:rsid w:val="00006AFC"/>
    <w:rsid w:val="00006CC5"/>
    <w:rsid w:val="000078B7"/>
    <w:rsid w:val="00011EF0"/>
    <w:rsid w:val="0002072C"/>
    <w:rsid w:val="0002185E"/>
    <w:rsid w:val="00023C82"/>
    <w:rsid w:val="00023EC2"/>
    <w:rsid w:val="00024E59"/>
    <w:rsid w:val="00025459"/>
    <w:rsid w:val="00027693"/>
    <w:rsid w:val="000309A2"/>
    <w:rsid w:val="000313DF"/>
    <w:rsid w:val="0003265B"/>
    <w:rsid w:val="00034C4C"/>
    <w:rsid w:val="00034EDF"/>
    <w:rsid w:val="000353AB"/>
    <w:rsid w:val="00037350"/>
    <w:rsid w:val="00037744"/>
    <w:rsid w:val="00042AAB"/>
    <w:rsid w:val="000431B5"/>
    <w:rsid w:val="00047AA7"/>
    <w:rsid w:val="0005667B"/>
    <w:rsid w:val="000569DF"/>
    <w:rsid w:val="0006034F"/>
    <w:rsid w:val="00064F70"/>
    <w:rsid w:val="00067B42"/>
    <w:rsid w:val="00067E81"/>
    <w:rsid w:val="00074699"/>
    <w:rsid w:val="00077F9D"/>
    <w:rsid w:val="0008056D"/>
    <w:rsid w:val="000809E0"/>
    <w:rsid w:val="000812DF"/>
    <w:rsid w:val="0008138D"/>
    <w:rsid w:val="000813E6"/>
    <w:rsid w:val="00084600"/>
    <w:rsid w:val="00084B09"/>
    <w:rsid w:val="00086AFF"/>
    <w:rsid w:val="000870DE"/>
    <w:rsid w:val="00091A8F"/>
    <w:rsid w:val="000928C3"/>
    <w:rsid w:val="00096D9B"/>
    <w:rsid w:val="000A0D2D"/>
    <w:rsid w:val="000A2DBF"/>
    <w:rsid w:val="000A3400"/>
    <w:rsid w:val="000B0546"/>
    <w:rsid w:val="000B0A90"/>
    <w:rsid w:val="000B47FC"/>
    <w:rsid w:val="000B5784"/>
    <w:rsid w:val="000C02C8"/>
    <w:rsid w:val="000C0C91"/>
    <w:rsid w:val="000C4A62"/>
    <w:rsid w:val="000C5645"/>
    <w:rsid w:val="000D4E09"/>
    <w:rsid w:val="000D56F5"/>
    <w:rsid w:val="000D5F23"/>
    <w:rsid w:val="000D7EAE"/>
    <w:rsid w:val="000E1D3D"/>
    <w:rsid w:val="000E55F8"/>
    <w:rsid w:val="000E5D45"/>
    <w:rsid w:val="000E6567"/>
    <w:rsid w:val="000F4108"/>
    <w:rsid w:val="000F7532"/>
    <w:rsid w:val="001020BB"/>
    <w:rsid w:val="00102743"/>
    <w:rsid w:val="00104BB0"/>
    <w:rsid w:val="00106F13"/>
    <w:rsid w:val="00110C19"/>
    <w:rsid w:val="00110CA5"/>
    <w:rsid w:val="00111DFF"/>
    <w:rsid w:val="00112113"/>
    <w:rsid w:val="00112981"/>
    <w:rsid w:val="00114E7B"/>
    <w:rsid w:val="00114EF8"/>
    <w:rsid w:val="00120AFF"/>
    <w:rsid w:val="00120D9F"/>
    <w:rsid w:val="00121A43"/>
    <w:rsid w:val="00121B9A"/>
    <w:rsid w:val="00122016"/>
    <w:rsid w:val="00126128"/>
    <w:rsid w:val="00127E04"/>
    <w:rsid w:val="00130EBF"/>
    <w:rsid w:val="00131506"/>
    <w:rsid w:val="001357AD"/>
    <w:rsid w:val="0013586F"/>
    <w:rsid w:val="001378B1"/>
    <w:rsid w:val="0014194F"/>
    <w:rsid w:val="00141FC3"/>
    <w:rsid w:val="00143C15"/>
    <w:rsid w:val="00146D6B"/>
    <w:rsid w:val="00147E75"/>
    <w:rsid w:val="00150122"/>
    <w:rsid w:val="00151DF1"/>
    <w:rsid w:val="00153A59"/>
    <w:rsid w:val="001561DD"/>
    <w:rsid w:val="00157418"/>
    <w:rsid w:val="00160AC4"/>
    <w:rsid w:val="0016172D"/>
    <w:rsid w:val="00162988"/>
    <w:rsid w:val="00167D7C"/>
    <w:rsid w:val="00170BC1"/>
    <w:rsid w:val="0017277C"/>
    <w:rsid w:val="00175D06"/>
    <w:rsid w:val="00176511"/>
    <w:rsid w:val="00180473"/>
    <w:rsid w:val="001806F4"/>
    <w:rsid w:val="00184D29"/>
    <w:rsid w:val="00185D10"/>
    <w:rsid w:val="00185DB3"/>
    <w:rsid w:val="001863FB"/>
    <w:rsid w:val="00186942"/>
    <w:rsid w:val="001869D9"/>
    <w:rsid w:val="00186FE4"/>
    <w:rsid w:val="00187ABE"/>
    <w:rsid w:val="00190F48"/>
    <w:rsid w:val="00192614"/>
    <w:rsid w:val="001A0AFF"/>
    <w:rsid w:val="001A3D58"/>
    <w:rsid w:val="001A40B7"/>
    <w:rsid w:val="001B187E"/>
    <w:rsid w:val="001B510E"/>
    <w:rsid w:val="001B594E"/>
    <w:rsid w:val="001C59ED"/>
    <w:rsid w:val="001C67FA"/>
    <w:rsid w:val="001C6DB7"/>
    <w:rsid w:val="001C7E2A"/>
    <w:rsid w:val="001D0F40"/>
    <w:rsid w:val="001D73F9"/>
    <w:rsid w:val="001D7C33"/>
    <w:rsid w:val="001E179F"/>
    <w:rsid w:val="001E1FC7"/>
    <w:rsid w:val="001E2724"/>
    <w:rsid w:val="001E2BA3"/>
    <w:rsid w:val="001E52DC"/>
    <w:rsid w:val="001E6BCF"/>
    <w:rsid w:val="001F0CE5"/>
    <w:rsid w:val="001F5FC2"/>
    <w:rsid w:val="00201B06"/>
    <w:rsid w:val="00202060"/>
    <w:rsid w:val="00202994"/>
    <w:rsid w:val="00203B46"/>
    <w:rsid w:val="00204134"/>
    <w:rsid w:val="002059B5"/>
    <w:rsid w:val="00206963"/>
    <w:rsid w:val="00207D7E"/>
    <w:rsid w:val="00210310"/>
    <w:rsid w:val="00212014"/>
    <w:rsid w:val="0021360F"/>
    <w:rsid w:val="00220A2B"/>
    <w:rsid w:val="0022124C"/>
    <w:rsid w:val="0022218F"/>
    <w:rsid w:val="002225B7"/>
    <w:rsid w:val="002243BF"/>
    <w:rsid w:val="0022572D"/>
    <w:rsid w:val="00226362"/>
    <w:rsid w:val="002311E0"/>
    <w:rsid w:val="00231AB7"/>
    <w:rsid w:val="00233632"/>
    <w:rsid w:val="00233CBF"/>
    <w:rsid w:val="00234210"/>
    <w:rsid w:val="00235E75"/>
    <w:rsid w:val="00237059"/>
    <w:rsid w:val="00237ED1"/>
    <w:rsid w:val="0024269C"/>
    <w:rsid w:val="00245C8F"/>
    <w:rsid w:val="0024778A"/>
    <w:rsid w:val="002564A5"/>
    <w:rsid w:val="00256826"/>
    <w:rsid w:val="00257479"/>
    <w:rsid w:val="00257486"/>
    <w:rsid w:val="00260A70"/>
    <w:rsid w:val="00261D9A"/>
    <w:rsid w:val="00262C7D"/>
    <w:rsid w:val="00262D5E"/>
    <w:rsid w:val="00262EA4"/>
    <w:rsid w:val="00267F14"/>
    <w:rsid w:val="00270811"/>
    <w:rsid w:val="00273909"/>
    <w:rsid w:val="00276B00"/>
    <w:rsid w:val="0028011D"/>
    <w:rsid w:val="0028050B"/>
    <w:rsid w:val="002806B8"/>
    <w:rsid w:val="0028079D"/>
    <w:rsid w:val="0028245C"/>
    <w:rsid w:val="0028375A"/>
    <w:rsid w:val="00285B37"/>
    <w:rsid w:val="002878B9"/>
    <w:rsid w:val="00291EC8"/>
    <w:rsid w:val="0029242F"/>
    <w:rsid w:val="00293A6B"/>
    <w:rsid w:val="00293C71"/>
    <w:rsid w:val="0029577C"/>
    <w:rsid w:val="002963AE"/>
    <w:rsid w:val="002A04D4"/>
    <w:rsid w:val="002A0A70"/>
    <w:rsid w:val="002A443E"/>
    <w:rsid w:val="002A5FA1"/>
    <w:rsid w:val="002B0DF0"/>
    <w:rsid w:val="002B1CD7"/>
    <w:rsid w:val="002B3CBB"/>
    <w:rsid w:val="002B3E59"/>
    <w:rsid w:val="002B51BC"/>
    <w:rsid w:val="002C1BDA"/>
    <w:rsid w:val="002C4EBD"/>
    <w:rsid w:val="002D04E5"/>
    <w:rsid w:val="002D37D4"/>
    <w:rsid w:val="002D41A4"/>
    <w:rsid w:val="002D6DE1"/>
    <w:rsid w:val="002E1765"/>
    <w:rsid w:val="002E1F9B"/>
    <w:rsid w:val="002E23A6"/>
    <w:rsid w:val="002E2B8C"/>
    <w:rsid w:val="002E339F"/>
    <w:rsid w:val="002E35D1"/>
    <w:rsid w:val="002E7101"/>
    <w:rsid w:val="002E7257"/>
    <w:rsid w:val="002F0421"/>
    <w:rsid w:val="002F3047"/>
    <w:rsid w:val="002F33E4"/>
    <w:rsid w:val="002F39E7"/>
    <w:rsid w:val="002F448A"/>
    <w:rsid w:val="003006B2"/>
    <w:rsid w:val="003022F2"/>
    <w:rsid w:val="00302807"/>
    <w:rsid w:val="00304172"/>
    <w:rsid w:val="00304AC8"/>
    <w:rsid w:val="00305408"/>
    <w:rsid w:val="00305BD3"/>
    <w:rsid w:val="003077AA"/>
    <w:rsid w:val="003118D8"/>
    <w:rsid w:val="00311E48"/>
    <w:rsid w:val="00313316"/>
    <w:rsid w:val="00313688"/>
    <w:rsid w:val="003163FA"/>
    <w:rsid w:val="003214C0"/>
    <w:rsid w:val="00321E69"/>
    <w:rsid w:val="00322125"/>
    <w:rsid w:val="003229D5"/>
    <w:rsid w:val="003234CC"/>
    <w:rsid w:val="00325343"/>
    <w:rsid w:val="00325A6D"/>
    <w:rsid w:val="00327002"/>
    <w:rsid w:val="003273BA"/>
    <w:rsid w:val="00327830"/>
    <w:rsid w:val="00327C1B"/>
    <w:rsid w:val="00331EF5"/>
    <w:rsid w:val="00332747"/>
    <w:rsid w:val="0033323F"/>
    <w:rsid w:val="003357A4"/>
    <w:rsid w:val="003357A6"/>
    <w:rsid w:val="003369DF"/>
    <w:rsid w:val="00336E8F"/>
    <w:rsid w:val="0034118E"/>
    <w:rsid w:val="0034204C"/>
    <w:rsid w:val="00342A3A"/>
    <w:rsid w:val="00343F4C"/>
    <w:rsid w:val="00345086"/>
    <w:rsid w:val="0035246C"/>
    <w:rsid w:val="00352896"/>
    <w:rsid w:val="00353369"/>
    <w:rsid w:val="00354454"/>
    <w:rsid w:val="00354AF5"/>
    <w:rsid w:val="00356257"/>
    <w:rsid w:val="00357B0F"/>
    <w:rsid w:val="00360DE3"/>
    <w:rsid w:val="00363AF1"/>
    <w:rsid w:val="00363DAE"/>
    <w:rsid w:val="003662E1"/>
    <w:rsid w:val="00371457"/>
    <w:rsid w:val="00371C3D"/>
    <w:rsid w:val="0037300B"/>
    <w:rsid w:val="00375E89"/>
    <w:rsid w:val="00375EC8"/>
    <w:rsid w:val="00387A1B"/>
    <w:rsid w:val="00390C26"/>
    <w:rsid w:val="00390C33"/>
    <w:rsid w:val="00391193"/>
    <w:rsid w:val="003931C9"/>
    <w:rsid w:val="0039680A"/>
    <w:rsid w:val="003A115F"/>
    <w:rsid w:val="003A13C7"/>
    <w:rsid w:val="003A1C13"/>
    <w:rsid w:val="003A228B"/>
    <w:rsid w:val="003A2CE6"/>
    <w:rsid w:val="003A498A"/>
    <w:rsid w:val="003A7858"/>
    <w:rsid w:val="003A7D85"/>
    <w:rsid w:val="003B2453"/>
    <w:rsid w:val="003B25C0"/>
    <w:rsid w:val="003B471A"/>
    <w:rsid w:val="003C0198"/>
    <w:rsid w:val="003C1C5C"/>
    <w:rsid w:val="003C4602"/>
    <w:rsid w:val="003C4D8A"/>
    <w:rsid w:val="003C4ECA"/>
    <w:rsid w:val="003C533B"/>
    <w:rsid w:val="003C6967"/>
    <w:rsid w:val="003D0320"/>
    <w:rsid w:val="003D04C8"/>
    <w:rsid w:val="003D0668"/>
    <w:rsid w:val="003D45E4"/>
    <w:rsid w:val="003D48AA"/>
    <w:rsid w:val="003D5464"/>
    <w:rsid w:val="003D5FC2"/>
    <w:rsid w:val="003D6F14"/>
    <w:rsid w:val="003E0695"/>
    <w:rsid w:val="003E19A6"/>
    <w:rsid w:val="003E4039"/>
    <w:rsid w:val="003E45B2"/>
    <w:rsid w:val="003E52CC"/>
    <w:rsid w:val="003F19D3"/>
    <w:rsid w:val="003F2D84"/>
    <w:rsid w:val="003F3241"/>
    <w:rsid w:val="003F5696"/>
    <w:rsid w:val="003F6D38"/>
    <w:rsid w:val="00400468"/>
    <w:rsid w:val="00400C79"/>
    <w:rsid w:val="00402C68"/>
    <w:rsid w:val="00402CBA"/>
    <w:rsid w:val="0040399C"/>
    <w:rsid w:val="004039A6"/>
    <w:rsid w:val="0040596D"/>
    <w:rsid w:val="004064A9"/>
    <w:rsid w:val="004126BA"/>
    <w:rsid w:val="00413D5D"/>
    <w:rsid w:val="004177C7"/>
    <w:rsid w:val="00421C20"/>
    <w:rsid w:val="0042584C"/>
    <w:rsid w:val="0042748A"/>
    <w:rsid w:val="00430127"/>
    <w:rsid w:val="00430BE2"/>
    <w:rsid w:val="0043478E"/>
    <w:rsid w:val="00436785"/>
    <w:rsid w:val="004415C6"/>
    <w:rsid w:val="00442057"/>
    <w:rsid w:val="004441AF"/>
    <w:rsid w:val="00445CB6"/>
    <w:rsid w:val="00447393"/>
    <w:rsid w:val="00447A1C"/>
    <w:rsid w:val="00453E32"/>
    <w:rsid w:val="004541D4"/>
    <w:rsid w:val="00454B38"/>
    <w:rsid w:val="00455728"/>
    <w:rsid w:val="004564E2"/>
    <w:rsid w:val="00456DC3"/>
    <w:rsid w:val="00457026"/>
    <w:rsid w:val="0046126F"/>
    <w:rsid w:val="00462A36"/>
    <w:rsid w:val="004652EE"/>
    <w:rsid w:val="00465B4C"/>
    <w:rsid w:val="00465F61"/>
    <w:rsid w:val="004703D0"/>
    <w:rsid w:val="004721F1"/>
    <w:rsid w:val="00473673"/>
    <w:rsid w:val="00473EE0"/>
    <w:rsid w:val="00475076"/>
    <w:rsid w:val="004762DF"/>
    <w:rsid w:val="00476F16"/>
    <w:rsid w:val="00477C81"/>
    <w:rsid w:val="004820AD"/>
    <w:rsid w:val="004824F8"/>
    <w:rsid w:val="00483840"/>
    <w:rsid w:val="0048432D"/>
    <w:rsid w:val="00485086"/>
    <w:rsid w:val="00485AB9"/>
    <w:rsid w:val="004938AE"/>
    <w:rsid w:val="00493A2C"/>
    <w:rsid w:val="00496633"/>
    <w:rsid w:val="004A0446"/>
    <w:rsid w:val="004A2D35"/>
    <w:rsid w:val="004A30A1"/>
    <w:rsid w:val="004A3639"/>
    <w:rsid w:val="004A56B2"/>
    <w:rsid w:val="004A5FD6"/>
    <w:rsid w:val="004A7B7A"/>
    <w:rsid w:val="004B01D1"/>
    <w:rsid w:val="004B3F47"/>
    <w:rsid w:val="004B4A74"/>
    <w:rsid w:val="004B4F45"/>
    <w:rsid w:val="004B6428"/>
    <w:rsid w:val="004C028F"/>
    <w:rsid w:val="004C1731"/>
    <w:rsid w:val="004C261E"/>
    <w:rsid w:val="004C2E3D"/>
    <w:rsid w:val="004C64D3"/>
    <w:rsid w:val="004D3AE7"/>
    <w:rsid w:val="004D3C2D"/>
    <w:rsid w:val="004E03C5"/>
    <w:rsid w:val="004E041F"/>
    <w:rsid w:val="004E25E0"/>
    <w:rsid w:val="004E45B4"/>
    <w:rsid w:val="004E4C74"/>
    <w:rsid w:val="004E63CC"/>
    <w:rsid w:val="004E70D2"/>
    <w:rsid w:val="004E782B"/>
    <w:rsid w:val="004F0813"/>
    <w:rsid w:val="004F1E43"/>
    <w:rsid w:val="004F1F92"/>
    <w:rsid w:val="004F29EE"/>
    <w:rsid w:val="004F3682"/>
    <w:rsid w:val="004F3BB5"/>
    <w:rsid w:val="004F4BD4"/>
    <w:rsid w:val="004F57B9"/>
    <w:rsid w:val="004F7659"/>
    <w:rsid w:val="00500247"/>
    <w:rsid w:val="005007A3"/>
    <w:rsid w:val="00500E0B"/>
    <w:rsid w:val="00503266"/>
    <w:rsid w:val="005038AB"/>
    <w:rsid w:val="00503D6B"/>
    <w:rsid w:val="005045E6"/>
    <w:rsid w:val="005048A2"/>
    <w:rsid w:val="00506253"/>
    <w:rsid w:val="00507AAD"/>
    <w:rsid w:val="0051098C"/>
    <w:rsid w:val="00511561"/>
    <w:rsid w:val="00512BBE"/>
    <w:rsid w:val="00516009"/>
    <w:rsid w:val="0051669E"/>
    <w:rsid w:val="00516E1B"/>
    <w:rsid w:val="00520168"/>
    <w:rsid w:val="0052187C"/>
    <w:rsid w:val="00523C89"/>
    <w:rsid w:val="00525C10"/>
    <w:rsid w:val="00526F0B"/>
    <w:rsid w:val="00531B0A"/>
    <w:rsid w:val="0053217B"/>
    <w:rsid w:val="00532BD1"/>
    <w:rsid w:val="00536723"/>
    <w:rsid w:val="00536FE2"/>
    <w:rsid w:val="00542E93"/>
    <w:rsid w:val="0054519A"/>
    <w:rsid w:val="005465A2"/>
    <w:rsid w:val="00546EAC"/>
    <w:rsid w:val="005504A4"/>
    <w:rsid w:val="00550763"/>
    <w:rsid w:val="00552D3D"/>
    <w:rsid w:val="00554AEF"/>
    <w:rsid w:val="00556381"/>
    <w:rsid w:val="0056017A"/>
    <w:rsid w:val="00560E48"/>
    <w:rsid w:val="00561AC1"/>
    <w:rsid w:val="005624C5"/>
    <w:rsid w:val="005642E0"/>
    <w:rsid w:val="00566283"/>
    <w:rsid w:val="0056723A"/>
    <w:rsid w:val="00567B56"/>
    <w:rsid w:val="00570848"/>
    <w:rsid w:val="00572906"/>
    <w:rsid w:val="005834B7"/>
    <w:rsid w:val="00583A0A"/>
    <w:rsid w:val="0058566E"/>
    <w:rsid w:val="00591210"/>
    <w:rsid w:val="00593F89"/>
    <w:rsid w:val="00594030"/>
    <w:rsid w:val="0059447E"/>
    <w:rsid w:val="00597988"/>
    <w:rsid w:val="00597FC7"/>
    <w:rsid w:val="005A38A9"/>
    <w:rsid w:val="005A646A"/>
    <w:rsid w:val="005A7B94"/>
    <w:rsid w:val="005B0C04"/>
    <w:rsid w:val="005B4307"/>
    <w:rsid w:val="005B69C4"/>
    <w:rsid w:val="005B6B6D"/>
    <w:rsid w:val="005C0E0A"/>
    <w:rsid w:val="005C2E09"/>
    <w:rsid w:val="005C6897"/>
    <w:rsid w:val="005D0EB5"/>
    <w:rsid w:val="005D68D2"/>
    <w:rsid w:val="005D6DF1"/>
    <w:rsid w:val="005E1933"/>
    <w:rsid w:val="005E1E58"/>
    <w:rsid w:val="005E2384"/>
    <w:rsid w:val="005E2A11"/>
    <w:rsid w:val="005E3320"/>
    <w:rsid w:val="005E3628"/>
    <w:rsid w:val="005E3AD9"/>
    <w:rsid w:val="005E5EAC"/>
    <w:rsid w:val="005E6908"/>
    <w:rsid w:val="005E73F7"/>
    <w:rsid w:val="005F2AA1"/>
    <w:rsid w:val="005F5113"/>
    <w:rsid w:val="005F6E18"/>
    <w:rsid w:val="00601B20"/>
    <w:rsid w:val="006026A1"/>
    <w:rsid w:val="00603AA8"/>
    <w:rsid w:val="0060423D"/>
    <w:rsid w:val="00607777"/>
    <w:rsid w:val="00613133"/>
    <w:rsid w:val="00613C48"/>
    <w:rsid w:val="00614B39"/>
    <w:rsid w:val="00614CC5"/>
    <w:rsid w:val="00621389"/>
    <w:rsid w:val="00621A34"/>
    <w:rsid w:val="006223E4"/>
    <w:rsid w:val="006228D2"/>
    <w:rsid w:val="006230B6"/>
    <w:rsid w:val="00624320"/>
    <w:rsid w:val="006244AC"/>
    <w:rsid w:val="00625102"/>
    <w:rsid w:val="00625349"/>
    <w:rsid w:val="0062786E"/>
    <w:rsid w:val="00627916"/>
    <w:rsid w:val="00627F7C"/>
    <w:rsid w:val="00630B3C"/>
    <w:rsid w:val="00630CB9"/>
    <w:rsid w:val="00630CBA"/>
    <w:rsid w:val="00633D65"/>
    <w:rsid w:val="00635E73"/>
    <w:rsid w:val="00636E54"/>
    <w:rsid w:val="006378FF"/>
    <w:rsid w:val="00640A12"/>
    <w:rsid w:val="006415DF"/>
    <w:rsid w:val="00642113"/>
    <w:rsid w:val="0064370B"/>
    <w:rsid w:val="0065124E"/>
    <w:rsid w:val="00651A96"/>
    <w:rsid w:val="00651EDD"/>
    <w:rsid w:val="006545D9"/>
    <w:rsid w:val="00654FFB"/>
    <w:rsid w:val="00655A78"/>
    <w:rsid w:val="006567C7"/>
    <w:rsid w:val="00661240"/>
    <w:rsid w:val="00662A7D"/>
    <w:rsid w:val="0066309A"/>
    <w:rsid w:val="00664D12"/>
    <w:rsid w:val="00665A69"/>
    <w:rsid w:val="006726B6"/>
    <w:rsid w:val="00673724"/>
    <w:rsid w:val="00675AA8"/>
    <w:rsid w:val="006765F9"/>
    <w:rsid w:val="006800B3"/>
    <w:rsid w:val="006804DE"/>
    <w:rsid w:val="0068143B"/>
    <w:rsid w:val="0068274D"/>
    <w:rsid w:val="00683AF4"/>
    <w:rsid w:val="006879CE"/>
    <w:rsid w:val="00690E6D"/>
    <w:rsid w:val="00693AF3"/>
    <w:rsid w:val="0069447D"/>
    <w:rsid w:val="00695778"/>
    <w:rsid w:val="00696EAF"/>
    <w:rsid w:val="006A08E8"/>
    <w:rsid w:val="006A3613"/>
    <w:rsid w:val="006A4DEB"/>
    <w:rsid w:val="006A50F7"/>
    <w:rsid w:val="006A5837"/>
    <w:rsid w:val="006A60BA"/>
    <w:rsid w:val="006A60FE"/>
    <w:rsid w:val="006A6B91"/>
    <w:rsid w:val="006A78C9"/>
    <w:rsid w:val="006B0592"/>
    <w:rsid w:val="006B1316"/>
    <w:rsid w:val="006B2B90"/>
    <w:rsid w:val="006B3363"/>
    <w:rsid w:val="006B3F49"/>
    <w:rsid w:val="006B7110"/>
    <w:rsid w:val="006B76B0"/>
    <w:rsid w:val="006C3ED7"/>
    <w:rsid w:val="006C44B3"/>
    <w:rsid w:val="006D14EF"/>
    <w:rsid w:val="006D2A18"/>
    <w:rsid w:val="006D2EE4"/>
    <w:rsid w:val="006D4039"/>
    <w:rsid w:val="006D4FB6"/>
    <w:rsid w:val="006D501A"/>
    <w:rsid w:val="006D7AA4"/>
    <w:rsid w:val="006E0151"/>
    <w:rsid w:val="006E2C67"/>
    <w:rsid w:val="006E3AFC"/>
    <w:rsid w:val="006E79BF"/>
    <w:rsid w:val="00701B96"/>
    <w:rsid w:val="00702EE1"/>
    <w:rsid w:val="0071130C"/>
    <w:rsid w:val="00712E6A"/>
    <w:rsid w:val="0072019F"/>
    <w:rsid w:val="007229DE"/>
    <w:rsid w:val="00722A74"/>
    <w:rsid w:val="00726C49"/>
    <w:rsid w:val="00726E08"/>
    <w:rsid w:val="00727244"/>
    <w:rsid w:val="007274AF"/>
    <w:rsid w:val="00727866"/>
    <w:rsid w:val="00731466"/>
    <w:rsid w:val="0073232E"/>
    <w:rsid w:val="00734292"/>
    <w:rsid w:val="0073527A"/>
    <w:rsid w:val="007367A2"/>
    <w:rsid w:val="00736E24"/>
    <w:rsid w:val="00737418"/>
    <w:rsid w:val="0074429A"/>
    <w:rsid w:val="00746293"/>
    <w:rsid w:val="00746785"/>
    <w:rsid w:val="00747289"/>
    <w:rsid w:val="007503B0"/>
    <w:rsid w:val="00750FA5"/>
    <w:rsid w:val="00753C86"/>
    <w:rsid w:val="00757D02"/>
    <w:rsid w:val="007617B8"/>
    <w:rsid w:val="00761F4A"/>
    <w:rsid w:val="007659DC"/>
    <w:rsid w:val="00767B35"/>
    <w:rsid w:val="00767DEB"/>
    <w:rsid w:val="00772707"/>
    <w:rsid w:val="00772D8D"/>
    <w:rsid w:val="00773946"/>
    <w:rsid w:val="007762C9"/>
    <w:rsid w:val="007776CF"/>
    <w:rsid w:val="007812FA"/>
    <w:rsid w:val="0078199D"/>
    <w:rsid w:val="007819C4"/>
    <w:rsid w:val="0078276E"/>
    <w:rsid w:val="0078336A"/>
    <w:rsid w:val="007858E3"/>
    <w:rsid w:val="00787369"/>
    <w:rsid w:val="007958CF"/>
    <w:rsid w:val="0079637D"/>
    <w:rsid w:val="00797FCE"/>
    <w:rsid w:val="007A3408"/>
    <w:rsid w:val="007A7A9A"/>
    <w:rsid w:val="007B1031"/>
    <w:rsid w:val="007B37F8"/>
    <w:rsid w:val="007C4EB4"/>
    <w:rsid w:val="007C5638"/>
    <w:rsid w:val="007C5712"/>
    <w:rsid w:val="007D13AB"/>
    <w:rsid w:val="007D3901"/>
    <w:rsid w:val="007D465C"/>
    <w:rsid w:val="007D4935"/>
    <w:rsid w:val="007D5614"/>
    <w:rsid w:val="007D5D76"/>
    <w:rsid w:val="007D6517"/>
    <w:rsid w:val="007D68F6"/>
    <w:rsid w:val="007D7243"/>
    <w:rsid w:val="007D7C24"/>
    <w:rsid w:val="007D7D89"/>
    <w:rsid w:val="007E2520"/>
    <w:rsid w:val="007E5F02"/>
    <w:rsid w:val="007E6670"/>
    <w:rsid w:val="007E66C3"/>
    <w:rsid w:val="007E68EB"/>
    <w:rsid w:val="007E781A"/>
    <w:rsid w:val="007F02C8"/>
    <w:rsid w:val="007F1750"/>
    <w:rsid w:val="007F35F7"/>
    <w:rsid w:val="007F36C6"/>
    <w:rsid w:val="007F4CA0"/>
    <w:rsid w:val="007F625C"/>
    <w:rsid w:val="007F71E4"/>
    <w:rsid w:val="007F7C88"/>
    <w:rsid w:val="008006AF"/>
    <w:rsid w:val="00801260"/>
    <w:rsid w:val="00801F2A"/>
    <w:rsid w:val="00802C75"/>
    <w:rsid w:val="00803BBD"/>
    <w:rsid w:val="0080481F"/>
    <w:rsid w:val="008106DB"/>
    <w:rsid w:val="00811433"/>
    <w:rsid w:val="00816166"/>
    <w:rsid w:val="008249D9"/>
    <w:rsid w:val="00824B6C"/>
    <w:rsid w:val="00824F72"/>
    <w:rsid w:val="00825FA0"/>
    <w:rsid w:val="0082773F"/>
    <w:rsid w:val="00827F6B"/>
    <w:rsid w:val="00830628"/>
    <w:rsid w:val="008332CD"/>
    <w:rsid w:val="0083445D"/>
    <w:rsid w:val="008346A9"/>
    <w:rsid w:val="008351DA"/>
    <w:rsid w:val="008368BA"/>
    <w:rsid w:val="00836F02"/>
    <w:rsid w:val="00840683"/>
    <w:rsid w:val="008425CB"/>
    <w:rsid w:val="00842765"/>
    <w:rsid w:val="008427B4"/>
    <w:rsid w:val="00843E15"/>
    <w:rsid w:val="008476E6"/>
    <w:rsid w:val="00847900"/>
    <w:rsid w:val="00850497"/>
    <w:rsid w:val="00850889"/>
    <w:rsid w:val="0085135C"/>
    <w:rsid w:val="00851452"/>
    <w:rsid w:val="00851D65"/>
    <w:rsid w:val="00852BF0"/>
    <w:rsid w:val="008538F8"/>
    <w:rsid w:val="00853C48"/>
    <w:rsid w:val="008554CA"/>
    <w:rsid w:val="0085667E"/>
    <w:rsid w:val="00856F86"/>
    <w:rsid w:val="00861DA6"/>
    <w:rsid w:val="00866219"/>
    <w:rsid w:val="0086670A"/>
    <w:rsid w:val="00867DE9"/>
    <w:rsid w:val="00876821"/>
    <w:rsid w:val="0087697D"/>
    <w:rsid w:val="00876E21"/>
    <w:rsid w:val="00877FD1"/>
    <w:rsid w:val="00881536"/>
    <w:rsid w:val="00881543"/>
    <w:rsid w:val="00884A5F"/>
    <w:rsid w:val="008851A0"/>
    <w:rsid w:val="00887878"/>
    <w:rsid w:val="008915E7"/>
    <w:rsid w:val="00893882"/>
    <w:rsid w:val="00895B99"/>
    <w:rsid w:val="00897E5E"/>
    <w:rsid w:val="008A156E"/>
    <w:rsid w:val="008A41E6"/>
    <w:rsid w:val="008A4BE8"/>
    <w:rsid w:val="008A79A4"/>
    <w:rsid w:val="008B21AD"/>
    <w:rsid w:val="008B248B"/>
    <w:rsid w:val="008B306B"/>
    <w:rsid w:val="008B33A9"/>
    <w:rsid w:val="008B37DF"/>
    <w:rsid w:val="008B427D"/>
    <w:rsid w:val="008B435A"/>
    <w:rsid w:val="008B59E0"/>
    <w:rsid w:val="008B5ED5"/>
    <w:rsid w:val="008C026A"/>
    <w:rsid w:val="008C05B9"/>
    <w:rsid w:val="008C1155"/>
    <w:rsid w:val="008C3F6A"/>
    <w:rsid w:val="008C7839"/>
    <w:rsid w:val="008D0FE9"/>
    <w:rsid w:val="008D23A8"/>
    <w:rsid w:val="008D3006"/>
    <w:rsid w:val="008D4E19"/>
    <w:rsid w:val="008E007E"/>
    <w:rsid w:val="008E1636"/>
    <w:rsid w:val="008E28F2"/>
    <w:rsid w:val="008E3B65"/>
    <w:rsid w:val="008E3BE7"/>
    <w:rsid w:val="008E4560"/>
    <w:rsid w:val="008E73DB"/>
    <w:rsid w:val="008E7690"/>
    <w:rsid w:val="008E7F1D"/>
    <w:rsid w:val="008F2E00"/>
    <w:rsid w:val="008F5F06"/>
    <w:rsid w:val="008F66CF"/>
    <w:rsid w:val="0090069D"/>
    <w:rsid w:val="00901B87"/>
    <w:rsid w:val="00901FB2"/>
    <w:rsid w:val="00902E5C"/>
    <w:rsid w:val="00903345"/>
    <w:rsid w:val="00903DCD"/>
    <w:rsid w:val="009067FE"/>
    <w:rsid w:val="009070A9"/>
    <w:rsid w:val="009118DE"/>
    <w:rsid w:val="00912708"/>
    <w:rsid w:val="00914EBE"/>
    <w:rsid w:val="009165F5"/>
    <w:rsid w:val="00916887"/>
    <w:rsid w:val="00921FF4"/>
    <w:rsid w:val="00922439"/>
    <w:rsid w:val="00923DBC"/>
    <w:rsid w:val="00924546"/>
    <w:rsid w:val="00924613"/>
    <w:rsid w:val="00927736"/>
    <w:rsid w:val="00930FD2"/>
    <w:rsid w:val="00931C11"/>
    <w:rsid w:val="00932655"/>
    <w:rsid w:val="00932ED3"/>
    <w:rsid w:val="0093371E"/>
    <w:rsid w:val="009414BA"/>
    <w:rsid w:val="00942AEF"/>
    <w:rsid w:val="009434C3"/>
    <w:rsid w:val="00944093"/>
    <w:rsid w:val="009458F2"/>
    <w:rsid w:val="0094786A"/>
    <w:rsid w:val="00947F53"/>
    <w:rsid w:val="00950521"/>
    <w:rsid w:val="00952153"/>
    <w:rsid w:val="00953556"/>
    <w:rsid w:val="00955392"/>
    <w:rsid w:val="009578D6"/>
    <w:rsid w:val="00961260"/>
    <w:rsid w:val="009619F2"/>
    <w:rsid w:val="00962BAE"/>
    <w:rsid w:val="00963E24"/>
    <w:rsid w:val="009642F1"/>
    <w:rsid w:val="0096466A"/>
    <w:rsid w:val="0096497F"/>
    <w:rsid w:val="00966DEB"/>
    <w:rsid w:val="00966FD4"/>
    <w:rsid w:val="00967575"/>
    <w:rsid w:val="009676D2"/>
    <w:rsid w:val="00967BD8"/>
    <w:rsid w:val="00973C2D"/>
    <w:rsid w:val="00974BA2"/>
    <w:rsid w:val="00974BCB"/>
    <w:rsid w:val="009756CC"/>
    <w:rsid w:val="009770F0"/>
    <w:rsid w:val="0098043A"/>
    <w:rsid w:val="009805E7"/>
    <w:rsid w:val="0098082A"/>
    <w:rsid w:val="0098223B"/>
    <w:rsid w:val="0098341B"/>
    <w:rsid w:val="00990358"/>
    <w:rsid w:val="00995643"/>
    <w:rsid w:val="00996780"/>
    <w:rsid w:val="009A1FF6"/>
    <w:rsid w:val="009A287A"/>
    <w:rsid w:val="009A33F1"/>
    <w:rsid w:val="009A7F26"/>
    <w:rsid w:val="009B0ACC"/>
    <w:rsid w:val="009B0B4C"/>
    <w:rsid w:val="009B27A1"/>
    <w:rsid w:val="009B2A6D"/>
    <w:rsid w:val="009B2C4E"/>
    <w:rsid w:val="009B3A31"/>
    <w:rsid w:val="009B7531"/>
    <w:rsid w:val="009C1839"/>
    <w:rsid w:val="009C1D6E"/>
    <w:rsid w:val="009C3310"/>
    <w:rsid w:val="009C34FA"/>
    <w:rsid w:val="009C3E07"/>
    <w:rsid w:val="009C4110"/>
    <w:rsid w:val="009C61F4"/>
    <w:rsid w:val="009C6360"/>
    <w:rsid w:val="009D178C"/>
    <w:rsid w:val="009D2304"/>
    <w:rsid w:val="009D459F"/>
    <w:rsid w:val="009D5AE9"/>
    <w:rsid w:val="009E1527"/>
    <w:rsid w:val="009E1C1A"/>
    <w:rsid w:val="009E5E35"/>
    <w:rsid w:val="009F10CF"/>
    <w:rsid w:val="009F6828"/>
    <w:rsid w:val="00A03F2B"/>
    <w:rsid w:val="00A06ECF"/>
    <w:rsid w:val="00A079CF"/>
    <w:rsid w:val="00A10838"/>
    <w:rsid w:val="00A10A65"/>
    <w:rsid w:val="00A10F0A"/>
    <w:rsid w:val="00A119D9"/>
    <w:rsid w:val="00A12899"/>
    <w:rsid w:val="00A13A59"/>
    <w:rsid w:val="00A17C82"/>
    <w:rsid w:val="00A204EA"/>
    <w:rsid w:val="00A20CEC"/>
    <w:rsid w:val="00A23D2D"/>
    <w:rsid w:val="00A245F1"/>
    <w:rsid w:val="00A246BD"/>
    <w:rsid w:val="00A30B6F"/>
    <w:rsid w:val="00A3280C"/>
    <w:rsid w:val="00A3394B"/>
    <w:rsid w:val="00A36B05"/>
    <w:rsid w:val="00A36DC0"/>
    <w:rsid w:val="00A37468"/>
    <w:rsid w:val="00A37A17"/>
    <w:rsid w:val="00A457B9"/>
    <w:rsid w:val="00A468AA"/>
    <w:rsid w:val="00A46AAB"/>
    <w:rsid w:val="00A474F6"/>
    <w:rsid w:val="00A50DD9"/>
    <w:rsid w:val="00A5181C"/>
    <w:rsid w:val="00A521E0"/>
    <w:rsid w:val="00A52363"/>
    <w:rsid w:val="00A53251"/>
    <w:rsid w:val="00A53DA4"/>
    <w:rsid w:val="00A543DD"/>
    <w:rsid w:val="00A55E61"/>
    <w:rsid w:val="00A5669B"/>
    <w:rsid w:val="00A57164"/>
    <w:rsid w:val="00A63E71"/>
    <w:rsid w:val="00A658E6"/>
    <w:rsid w:val="00A705D7"/>
    <w:rsid w:val="00A7344F"/>
    <w:rsid w:val="00A74992"/>
    <w:rsid w:val="00A76FC3"/>
    <w:rsid w:val="00A77B79"/>
    <w:rsid w:val="00A82603"/>
    <w:rsid w:val="00A85058"/>
    <w:rsid w:val="00A8541B"/>
    <w:rsid w:val="00A85C8E"/>
    <w:rsid w:val="00A87358"/>
    <w:rsid w:val="00A87E72"/>
    <w:rsid w:val="00A91405"/>
    <w:rsid w:val="00A91E9D"/>
    <w:rsid w:val="00A929F4"/>
    <w:rsid w:val="00A92D58"/>
    <w:rsid w:val="00A9572D"/>
    <w:rsid w:val="00A95734"/>
    <w:rsid w:val="00A95C99"/>
    <w:rsid w:val="00A9670B"/>
    <w:rsid w:val="00A97D17"/>
    <w:rsid w:val="00AA0F4F"/>
    <w:rsid w:val="00AA1A3B"/>
    <w:rsid w:val="00AA21D4"/>
    <w:rsid w:val="00AA7066"/>
    <w:rsid w:val="00AA7DD2"/>
    <w:rsid w:val="00AB08EF"/>
    <w:rsid w:val="00AB216C"/>
    <w:rsid w:val="00AB3685"/>
    <w:rsid w:val="00AB3D39"/>
    <w:rsid w:val="00AB58C6"/>
    <w:rsid w:val="00AC0A76"/>
    <w:rsid w:val="00AC0A81"/>
    <w:rsid w:val="00AC2B45"/>
    <w:rsid w:val="00AC5E41"/>
    <w:rsid w:val="00AC5E7F"/>
    <w:rsid w:val="00AC79C5"/>
    <w:rsid w:val="00AD22E8"/>
    <w:rsid w:val="00AD3A00"/>
    <w:rsid w:val="00AD4FFA"/>
    <w:rsid w:val="00AD7582"/>
    <w:rsid w:val="00AE259D"/>
    <w:rsid w:val="00AE4F28"/>
    <w:rsid w:val="00AE506D"/>
    <w:rsid w:val="00AE5095"/>
    <w:rsid w:val="00AE5697"/>
    <w:rsid w:val="00AF0063"/>
    <w:rsid w:val="00AF34AD"/>
    <w:rsid w:val="00AF4159"/>
    <w:rsid w:val="00AF4F3E"/>
    <w:rsid w:val="00AF7806"/>
    <w:rsid w:val="00B00365"/>
    <w:rsid w:val="00B01B8E"/>
    <w:rsid w:val="00B0224C"/>
    <w:rsid w:val="00B05A65"/>
    <w:rsid w:val="00B07FA8"/>
    <w:rsid w:val="00B10411"/>
    <w:rsid w:val="00B13B06"/>
    <w:rsid w:val="00B1411A"/>
    <w:rsid w:val="00B17790"/>
    <w:rsid w:val="00B22C75"/>
    <w:rsid w:val="00B273B6"/>
    <w:rsid w:val="00B306FB"/>
    <w:rsid w:val="00B30763"/>
    <w:rsid w:val="00B317A5"/>
    <w:rsid w:val="00B32FB6"/>
    <w:rsid w:val="00B34569"/>
    <w:rsid w:val="00B4029F"/>
    <w:rsid w:val="00B40451"/>
    <w:rsid w:val="00B42000"/>
    <w:rsid w:val="00B46EF7"/>
    <w:rsid w:val="00B51B65"/>
    <w:rsid w:val="00B55B85"/>
    <w:rsid w:val="00B5617A"/>
    <w:rsid w:val="00B609FB"/>
    <w:rsid w:val="00B60EAF"/>
    <w:rsid w:val="00B6408C"/>
    <w:rsid w:val="00B646C1"/>
    <w:rsid w:val="00B65146"/>
    <w:rsid w:val="00B65D13"/>
    <w:rsid w:val="00B700C0"/>
    <w:rsid w:val="00B73C44"/>
    <w:rsid w:val="00B73CEE"/>
    <w:rsid w:val="00B74BC4"/>
    <w:rsid w:val="00B74E86"/>
    <w:rsid w:val="00B81570"/>
    <w:rsid w:val="00B82057"/>
    <w:rsid w:val="00B8304A"/>
    <w:rsid w:val="00B90E89"/>
    <w:rsid w:val="00B94C1D"/>
    <w:rsid w:val="00B95A98"/>
    <w:rsid w:val="00B971A4"/>
    <w:rsid w:val="00B97644"/>
    <w:rsid w:val="00BA7A1E"/>
    <w:rsid w:val="00BB04E7"/>
    <w:rsid w:val="00BB0D2D"/>
    <w:rsid w:val="00BB1D9C"/>
    <w:rsid w:val="00BB240F"/>
    <w:rsid w:val="00BB3752"/>
    <w:rsid w:val="00BB4AB6"/>
    <w:rsid w:val="00BB4C6A"/>
    <w:rsid w:val="00BB5EA1"/>
    <w:rsid w:val="00BB688A"/>
    <w:rsid w:val="00BB7E19"/>
    <w:rsid w:val="00BC0F55"/>
    <w:rsid w:val="00BC1E8F"/>
    <w:rsid w:val="00BC2162"/>
    <w:rsid w:val="00BC46AC"/>
    <w:rsid w:val="00BC502A"/>
    <w:rsid w:val="00BC596E"/>
    <w:rsid w:val="00BC76A8"/>
    <w:rsid w:val="00BC76E3"/>
    <w:rsid w:val="00BD015A"/>
    <w:rsid w:val="00BD51B9"/>
    <w:rsid w:val="00BE3FF7"/>
    <w:rsid w:val="00BE6349"/>
    <w:rsid w:val="00BF3E5B"/>
    <w:rsid w:val="00BF469D"/>
    <w:rsid w:val="00BF473B"/>
    <w:rsid w:val="00BF6C88"/>
    <w:rsid w:val="00C0049D"/>
    <w:rsid w:val="00C039EE"/>
    <w:rsid w:val="00C11A58"/>
    <w:rsid w:val="00C11B7B"/>
    <w:rsid w:val="00C11D30"/>
    <w:rsid w:val="00C126B9"/>
    <w:rsid w:val="00C134CC"/>
    <w:rsid w:val="00C150D1"/>
    <w:rsid w:val="00C170C4"/>
    <w:rsid w:val="00C17428"/>
    <w:rsid w:val="00C17F06"/>
    <w:rsid w:val="00C20D60"/>
    <w:rsid w:val="00C212A4"/>
    <w:rsid w:val="00C22ADA"/>
    <w:rsid w:val="00C25315"/>
    <w:rsid w:val="00C2629F"/>
    <w:rsid w:val="00C333F4"/>
    <w:rsid w:val="00C33F5B"/>
    <w:rsid w:val="00C34327"/>
    <w:rsid w:val="00C34AE3"/>
    <w:rsid w:val="00C36209"/>
    <w:rsid w:val="00C370DE"/>
    <w:rsid w:val="00C40224"/>
    <w:rsid w:val="00C41913"/>
    <w:rsid w:val="00C44518"/>
    <w:rsid w:val="00C44FA0"/>
    <w:rsid w:val="00C45648"/>
    <w:rsid w:val="00C46696"/>
    <w:rsid w:val="00C4688D"/>
    <w:rsid w:val="00C520BE"/>
    <w:rsid w:val="00C53E66"/>
    <w:rsid w:val="00C6302D"/>
    <w:rsid w:val="00C64DCA"/>
    <w:rsid w:val="00C67167"/>
    <w:rsid w:val="00C67C38"/>
    <w:rsid w:val="00C7042A"/>
    <w:rsid w:val="00C704A5"/>
    <w:rsid w:val="00C71A97"/>
    <w:rsid w:val="00C728E1"/>
    <w:rsid w:val="00C8136F"/>
    <w:rsid w:val="00C83175"/>
    <w:rsid w:val="00C834CE"/>
    <w:rsid w:val="00C83A88"/>
    <w:rsid w:val="00C85205"/>
    <w:rsid w:val="00C854C7"/>
    <w:rsid w:val="00C864EB"/>
    <w:rsid w:val="00C905F6"/>
    <w:rsid w:val="00C91DFE"/>
    <w:rsid w:val="00C92B04"/>
    <w:rsid w:val="00C93321"/>
    <w:rsid w:val="00C93A0C"/>
    <w:rsid w:val="00C94625"/>
    <w:rsid w:val="00CA0C83"/>
    <w:rsid w:val="00CA1386"/>
    <w:rsid w:val="00CA4C65"/>
    <w:rsid w:val="00CA69F2"/>
    <w:rsid w:val="00CA7F07"/>
    <w:rsid w:val="00CB17F7"/>
    <w:rsid w:val="00CB1801"/>
    <w:rsid w:val="00CB4C32"/>
    <w:rsid w:val="00CB690F"/>
    <w:rsid w:val="00CB74B6"/>
    <w:rsid w:val="00CB75E3"/>
    <w:rsid w:val="00CB7C74"/>
    <w:rsid w:val="00CC0B8E"/>
    <w:rsid w:val="00CC0BEF"/>
    <w:rsid w:val="00CC3C03"/>
    <w:rsid w:val="00CC5795"/>
    <w:rsid w:val="00CD0CDD"/>
    <w:rsid w:val="00CD1214"/>
    <w:rsid w:val="00CD2C6A"/>
    <w:rsid w:val="00CD397D"/>
    <w:rsid w:val="00CD43A0"/>
    <w:rsid w:val="00CD5948"/>
    <w:rsid w:val="00CE0F82"/>
    <w:rsid w:val="00CE4A6D"/>
    <w:rsid w:val="00CE4E8A"/>
    <w:rsid w:val="00CE64B1"/>
    <w:rsid w:val="00CE6C9A"/>
    <w:rsid w:val="00CE6E85"/>
    <w:rsid w:val="00CE7557"/>
    <w:rsid w:val="00CE75BD"/>
    <w:rsid w:val="00CE7651"/>
    <w:rsid w:val="00CF0482"/>
    <w:rsid w:val="00CF095E"/>
    <w:rsid w:val="00CF1A4E"/>
    <w:rsid w:val="00D01713"/>
    <w:rsid w:val="00D024FB"/>
    <w:rsid w:val="00D04C07"/>
    <w:rsid w:val="00D06C31"/>
    <w:rsid w:val="00D104EF"/>
    <w:rsid w:val="00D12DFB"/>
    <w:rsid w:val="00D14633"/>
    <w:rsid w:val="00D170F3"/>
    <w:rsid w:val="00D1778B"/>
    <w:rsid w:val="00D20347"/>
    <w:rsid w:val="00D245FD"/>
    <w:rsid w:val="00D2536C"/>
    <w:rsid w:val="00D25FA0"/>
    <w:rsid w:val="00D2657D"/>
    <w:rsid w:val="00D304E7"/>
    <w:rsid w:val="00D30F6F"/>
    <w:rsid w:val="00D317FC"/>
    <w:rsid w:val="00D31934"/>
    <w:rsid w:val="00D32B48"/>
    <w:rsid w:val="00D41C0E"/>
    <w:rsid w:val="00D431A6"/>
    <w:rsid w:val="00D45733"/>
    <w:rsid w:val="00D54135"/>
    <w:rsid w:val="00D576E7"/>
    <w:rsid w:val="00D6116C"/>
    <w:rsid w:val="00D635DF"/>
    <w:rsid w:val="00D656E2"/>
    <w:rsid w:val="00D673FD"/>
    <w:rsid w:val="00D70CE5"/>
    <w:rsid w:val="00D70FA4"/>
    <w:rsid w:val="00D71DA6"/>
    <w:rsid w:val="00D7257C"/>
    <w:rsid w:val="00D730FE"/>
    <w:rsid w:val="00D744C6"/>
    <w:rsid w:val="00D756B2"/>
    <w:rsid w:val="00D75AA3"/>
    <w:rsid w:val="00D8148A"/>
    <w:rsid w:val="00D81A33"/>
    <w:rsid w:val="00D81DB0"/>
    <w:rsid w:val="00D82B25"/>
    <w:rsid w:val="00D85482"/>
    <w:rsid w:val="00D86656"/>
    <w:rsid w:val="00D90B1D"/>
    <w:rsid w:val="00D90CE5"/>
    <w:rsid w:val="00D915E7"/>
    <w:rsid w:val="00D92DFA"/>
    <w:rsid w:val="00D931E9"/>
    <w:rsid w:val="00D94661"/>
    <w:rsid w:val="00D9690D"/>
    <w:rsid w:val="00DA161B"/>
    <w:rsid w:val="00DA1922"/>
    <w:rsid w:val="00DA1A86"/>
    <w:rsid w:val="00DA500F"/>
    <w:rsid w:val="00DA6BD0"/>
    <w:rsid w:val="00DA6CD1"/>
    <w:rsid w:val="00DA7887"/>
    <w:rsid w:val="00DB0DF1"/>
    <w:rsid w:val="00DB3C05"/>
    <w:rsid w:val="00DB7F21"/>
    <w:rsid w:val="00DC24BB"/>
    <w:rsid w:val="00DC366C"/>
    <w:rsid w:val="00DC3B93"/>
    <w:rsid w:val="00DC6526"/>
    <w:rsid w:val="00DC6566"/>
    <w:rsid w:val="00DC7E17"/>
    <w:rsid w:val="00DD2DA3"/>
    <w:rsid w:val="00DD35AF"/>
    <w:rsid w:val="00DD5CE5"/>
    <w:rsid w:val="00DD6640"/>
    <w:rsid w:val="00DE4460"/>
    <w:rsid w:val="00DE4571"/>
    <w:rsid w:val="00DE59D2"/>
    <w:rsid w:val="00DF2596"/>
    <w:rsid w:val="00DF2633"/>
    <w:rsid w:val="00DF4323"/>
    <w:rsid w:val="00DF4ABB"/>
    <w:rsid w:val="00DF542D"/>
    <w:rsid w:val="00DF59BD"/>
    <w:rsid w:val="00DF5A51"/>
    <w:rsid w:val="00DF5BDE"/>
    <w:rsid w:val="00DF75EE"/>
    <w:rsid w:val="00E0022A"/>
    <w:rsid w:val="00E009F0"/>
    <w:rsid w:val="00E0436F"/>
    <w:rsid w:val="00E06710"/>
    <w:rsid w:val="00E07B7A"/>
    <w:rsid w:val="00E11B72"/>
    <w:rsid w:val="00E12A31"/>
    <w:rsid w:val="00E144A2"/>
    <w:rsid w:val="00E1537D"/>
    <w:rsid w:val="00E15F05"/>
    <w:rsid w:val="00E16522"/>
    <w:rsid w:val="00E24080"/>
    <w:rsid w:val="00E25E54"/>
    <w:rsid w:val="00E312A2"/>
    <w:rsid w:val="00E31B7A"/>
    <w:rsid w:val="00E32B04"/>
    <w:rsid w:val="00E32D28"/>
    <w:rsid w:val="00E33BF8"/>
    <w:rsid w:val="00E353BC"/>
    <w:rsid w:val="00E419DA"/>
    <w:rsid w:val="00E419E0"/>
    <w:rsid w:val="00E42F6B"/>
    <w:rsid w:val="00E450DE"/>
    <w:rsid w:val="00E46C40"/>
    <w:rsid w:val="00E47EF8"/>
    <w:rsid w:val="00E501A6"/>
    <w:rsid w:val="00E52473"/>
    <w:rsid w:val="00E5363C"/>
    <w:rsid w:val="00E57420"/>
    <w:rsid w:val="00E61677"/>
    <w:rsid w:val="00E6441B"/>
    <w:rsid w:val="00E66063"/>
    <w:rsid w:val="00E67163"/>
    <w:rsid w:val="00E673F7"/>
    <w:rsid w:val="00E67C3B"/>
    <w:rsid w:val="00E67D56"/>
    <w:rsid w:val="00E7001D"/>
    <w:rsid w:val="00E70D78"/>
    <w:rsid w:val="00E712C0"/>
    <w:rsid w:val="00E716FD"/>
    <w:rsid w:val="00E7235F"/>
    <w:rsid w:val="00E727C7"/>
    <w:rsid w:val="00E75400"/>
    <w:rsid w:val="00E76487"/>
    <w:rsid w:val="00E8008E"/>
    <w:rsid w:val="00E81257"/>
    <w:rsid w:val="00E81385"/>
    <w:rsid w:val="00E854E7"/>
    <w:rsid w:val="00E8562E"/>
    <w:rsid w:val="00E87F32"/>
    <w:rsid w:val="00E921D6"/>
    <w:rsid w:val="00E9239C"/>
    <w:rsid w:val="00E9293D"/>
    <w:rsid w:val="00E934F8"/>
    <w:rsid w:val="00E94B65"/>
    <w:rsid w:val="00EA2063"/>
    <w:rsid w:val="00EA6A02"/>
    <w:rsid w:val="00EA7225"/>
    <w:rsid w:val="00EB0B1A"/>
    <w:rsid w:val="00EB12BC"/>
    <w:rsid w:val="00EB3B4B"/>
    <w:rsid w:val="00EB43F1"/>
    <w:rsid w:val="00EB5C2F"/>
    <w:rsid w:val="00EB76A9"/>
    <w:rsid w:val="00EC137A"/>
    <w:rsid w:val="00EC52B0"/>
    <w:rsid w:val="00ED0382"/>
    <w:rsid w:val="00ED0974"/>
    <w:rsid w:val="00ED2409"/>
    <w:rsid w:val="00ED386B"/>
    <w:rsid w:val="00ED5DC0"/>
    <w:rsid w:val="00ED6945"/>
    <w:rsid w:val="00ED6EAD"/>
    <w:rsid w:val="00EE1DEF"/>
    <w:rsid w:val="00EE3695"/>
    <w:rsid w:val="00EE463B"/>
    <w:rsid w:val="00EE6A3C"/>
    <w:rsid w:val="00EF013A"/>
    <w:rsid w:val="00EF0884"/>
    <w:rsid w:val="00EF28EF"/>
    <w:rsid w:val="00EF29F1"/>
    <w:rsid w:val="00EF519C"/>
    <w:rsid w:val="00EF60DA"/>
    <w:rsid w:val="00EF6CD2"/>
    <w:rsid w:val="00F05576"/>
    <w:rsid w:val="00F06318"/>
    <w:rsid w:val="00F1096F"/>
    <w:rsid w:val="00F11BEC"/>
    <w:rsid w:val="00F128CA"/>
    <w:rsid w:val="00F139D3"/>
    <w:rsid w:val="00F15BFF"/>
    <w:rsid w:val="00F15E87"/>
    <w:rsid w:val="00F15F10"/>
    <w:rsid w:val="00F16F54"/>
    <w:rsid w:val="00F2000F"/>
    <w:rsid w:val="00F2062D"/>
    <w:rsid w:val="00F22B78"/>
    <w:rsid w:val="00F244B5"/>
    <w:rsid w:val="00F24BD4"/>
    <w:rsid w:val="00F253F3"/>
    <w:rsid w:val="00F26E55"/>
    <w:rsid w:val="00F26EC6"/>
    <w:rsid w:val="00F31D32"/>
    <w:rsid w:val="00F3254F"/>
    <w:rsid w:val="00F367A5"/>
    <w:rsid w:val="00F36CEB"/>
    <w:rsid w:val="00F37AAD"/>
    <w:rsid w:val="00F40E24"/>
    <w:rsid w:val="00F41BE9"/>
    <w:rsid w:val="00F43AA1"/>
    <w:rsid w:val="00F449A9"/>
    <w:rsid w:val="00F46D34"/>
    <w:rsid w:val="00F4747B"/>
    <w:rsid w:val="00F47501"/>
    <w:rsid w:val="00F475E1"/>
    <w:rsid w:val="00F61508"/>
    <w:rsid w:val="00F622BB"/>
    <w:rsid w:val="00F634A7"/>
    <w:rsid w:val="00F6672F"/>
    <w:rsid w:val="00F67F66"/>
    <w:rsid w:val="00F70A66"/>
    <w:rsid w:val="00F71134"/>
    <w:rsid w:val="00F73744"/>
    <w:rsid w:val="00F73AD8"/>
    <w:rsid w:val="00F761BC"/>
    <w:rsid w:val="00F77142"/>
    <w:rsid w:val="00F77E7A"/>
    <w:rsid w:val="00F825F6"/>
    <w:rsid w:val="00F832FA"/>
    <w:rsid w:val="00F83AD3"/>
    <w:rsid w:val="00F860A5"/>
    <w:rsid w:val="00F90C62"/>
    <w:rsid w:val="00F913FE"/>
    <w:rsid w:val="00F9247F"/>
    <w:rsid w:val="00F93110"/>
    <w:rsid w:val="00F94CF1"/>
    <w:rsid w:val="00F95A65"/>
    <w:rsid w:val="00F97919"/>
    <w:rsid w:val="00FA2965"/>
    <w:rsid w:val="00FA297E"/>
    <w:rsid w:val="00FA2F42"/>
    <w:rsid w:val="00FA5AA5"/>
    <w:rsid w:val="00FB04EE"/>
    <w:rsid w:val="00FB1712"/>
    <w:rsid w:val="00FB2895"/>
    <w:rsid w:val="00FB392D"/>
    <w:rsid w:val="00FB4A83"/>
    <w:rsid w:val="00FB55F0"/>
    <w:rsid w:val="00FB5926"/>
    <w:rsid w:val="00FC38AD"/>
    <w:rsid w:val="00FC4062"/>
    <w:rsid w:val="00FC610E"/>
    <w:rsid w:val="00FC63E4"/>
    <w:rsid w:val="00FC71EA"/>
    <w:rsid w:val="00FD05C1"/>
    <w:rsid w:val="00FD1294"/>
    <w:rsid w:val="00FD1C43"/>
    <w:rsid w:val="00FD5BFB"/>
    <w:rsid w:val="00FE011D"/>
    <w:rsid w:val="00FE3908"/>
    <w:rsid w:val="00FE51C4"/>
    <w:rsid w:val="00FE52AC"/>
    <w:rsid w:val="00FE5598"/>
    <w:rsid w:val="00FE65CC"/>
    <w:rsid w:val="00FE73F0"/>
    <w:rsid w:val="00FF0BD3"/>
    <w:rsid w:val="00FF32F6"/>
    <w:rsid w:val="00FF3324"/>
    <w:rsid w:val="00FF4AF2"/>
    <w:rsid w:val="00FF4C09"/>
    <w:rsid w:val="00FF5278"/>
    <w:rsid w:val="00FF625B"/>
    <w:rsid w:val="00FF650F"/>
    <w:rsid w:val="00FF6D8A"/>
    <w:rsid w:val="00FF7330"/>
    <w:rsid w:val="00FF7BB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56CB76"/>
  <w15:docId w15:val="{03D24042-74C8-4ECA-AD3B-FCEBA4F9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18F"/>
    <w:pPr>
      <w:tabs>
        <w:tab w:val="left" w:pos="2694"/>
        <w:tab w:val="left" w:pos="2977"/>
      </w:tabs>
      <w:jc w:val="both"/>
    </w:pPr>
    <w:rPr>
      <w:rFonts w:cs="Arial"/>
      <w:color w:val="000000"/>
      <w:sz w:val="18"/>
      <w:szCs w:val="18"/>
      <w:lang w:val="en-ZA"/>
    </w:rPr>
  </w:style>
  <w:style w:type="paragraph" w:styleId="Heading1">
    <w:name w:val="heading 1"/>
    <w:next w:val="head2"/>
    <w:qFormat/>
    <w:rsid w:val="00AF418F"/>
    <w:pPr>
      <w:keepNext/>
      <w:shd w:val="clear" w:color="auto" w:fill="E6E6E6"/>
      <w:outlineLvl w:val="0"/>
    </w:pPr>
    <w:rPr>
      <w:b/>
      <w:caps/>
      <w:kern w:val="24"/>
      <w:sz w:val="22"/>
      <w:szCs w:val="18"/>
      <w:lang w:val="en-ZA"/>
    </w:rPr>
  </w:style>
  <w:style w:type="paragraph" w:styleId="Heading2">
    <w:name w:val="heading 2"/>
    <w:basedOn w:val="Normal"/>
    <w:next w:val="Normal"/>
    <w:qFormat/>
    <w:rsid w:val="00AF418F"/>
    <w:pPr>
      <w:keepNext/>
      <w:shd w:val="clear" w:color="auto" w:fill="E6E6E6"/>
      <w:outlineLvl w:val="1"/>
    </w:pPr>
    <w:rPr>
      <w:b/>
      <w:bCs/>
      <w:caps/>
      <w:sz w:val="20"/>
    </w:rPr>
  </w:style>
  <w:style w:type="paragraph" w:styleId="Heading3">
    <w:name w:val="heading 3"/>
    <w:basedOn w:val="Normal"/>
    <w:next w:val="Normal"/>
    <w:qFormat/>
    <w:rsid w:val="00AF418F"/>
    <w:pPr>
      <w:keepNext/>
      <w:jc w:val="left"/>
      <w:outlineLvl w:val="2"/>
    </w:pPr>
    <w:rPr>
      <w:b/>
      <w:bCs/>
      <w:caps/>
      <w:sz w:val="20"/>
    </w:rPr>
  </w:style>
  <w:style w:type="paragraph" w:styleId="Heading4">
    <w:name w:val="heading 4"/>
    <w:basedOn w:val="Normal"/>
    <w:next w:val="Normal"/>
    <w:autoRedefine/>
    <w:qFormat/>
    <w:rsid w:val="00A929F4"/>
    <w:pPr>
      <w:keepNext/>
      <w:jc w:val="left"/>
      <w:outlineLvl w:val="3"/>
    </w:pPr>
    <w:rPr>
      <w:caps/>
      <w:sz w:val="16"/>
    </w:rPr>
  </w:style>
  <w:style w:type="paragraph" w:styleId="Heading5">
    <w:name w:val="heading 5"/>
    <w:basedOn w:val="Normal"/>
    <w:next w:val="Normal"/>
    <w:autoRedefine/>
    <w:qFormat/>
    <w:rsid w:val="00A929F4"/>
    <w:pPr>
      <w:outlineLvl w:val="4"/>
    </w:pPr>
    <w:rPr>
      <w:b/>
      <w:iCs/>
      <w:caps/>
      <w:sz w:val="20"/>
      <w:szCs w:val="26"/>
      <w:u w:val="single"/>
    </w:rPr>
  </w:style>
  <w:style w:type="paragraph" w:styleId="Heading6">
    <w:name w:val="heading 6"/>
    <w:basedOn w:val="Normal"/>
    <w:next w:val="Normal"/>
    <w:qFormat/>
    <w:rsid w:val="00A929F4"/>
    <w:pPr>
      <w:keepNext/>
      <w:ind w:left="284"/>
      <w:outlineLvl w:val="5"/>
    </w:pPr>
    <w:rPr>
      <w:b/>
      <w:bCs/>
    </w:rPr>
  </w:style>
  <w:style w:type="paragraph" w:styleId="Heading7">
    <w:name w:val="heading 7"/>
    <w:basedOn w:val="Normal"/>
    <w:next w:val="Normal"/>
    <w:qFormat/>
    <w:rsid w:val="00A929F4"/>
    <w:pPr>
      <w:keepNext/>
      <w:outlineLvl w:val="6"/>
    </w:pPr>
    <w:rPr>
      <w:u w:val="single"/>
    </w:rPr>
  </w:style>
  <w:style w:type="paragraph" w:styleId="Heading9">
    <w:name w:val="heading 9"/>
    <w:basedOn w:val="Normal"/>
    <w:next w:val="Normal"/>
    <w:qFormat/>
    <w:rsid w:val="00952418"/>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rsid w:val="00A929F4"/>
    <w:rPr>
      <w:b/>
      <w:caps/>
      <w:sz w:val="24"/>
      <w:szCs w:val="18"/>
      <w:lang w:val="en-ZA"/>
    </w:rPr>
  </w:style>
  <w:style w:type="paragraph" w:customStyle="1" w:styleId="Title1">
    <w:name w:val="Title1"/>
    <w:basedOn w:val="head1"/>
    <w:rsid w:val="00A929F4"/>
    <w:pPr>
      <w:jc w:val="center"/>
      <w:outlineLvl w:val="0"/>
    </w:pPr>
    <w:rPr>
      <w:caps w:val="0"/>
    </w:rPr>
  </w:style>
  <w:style w:type="paragraph" w:customStyle="1" w:styleId="ep0">
    <w:name w:val="ep0"/>
    <w:autoRedefine/>
    <w:rsid w:val="00A929F4"/>
    <w:pPr>
      <w:numPr>
        <w:numId w:val="4"/>
      </w:numPr>
      <w:tabs>
        <w:tab w:val="clear" w:pos="1800"/>
      </w:tabs>
      <w:ind w:left="360"/>
      <w:jc w:val="both"/>
    </w:pPr>
    <w:rPr>
      <w:noProof/>
      <w:sz w:val="18"/>
      <w:szCs w:val="18"/>
      <w:lang w:val="en-ZA"/>
    </w:rPr>
  </w:style>
  <w:style w:type="paragraph" w:customStyle="1" w:styleId="head2">
    <w:name w:val="head2"/>
    <w:rsid w:val="00A929F4"/>
    <w:pPr>
      <w:spacing w:line="180" w:lineRule="exact"/>
    </w:pPr>
    <w:rPr>
      <w:b/>
      <w:sz w:val="18"/>
      <w:szCs w:val="18"/>
      <w:lang w:val="en-ZA"/>
    </w:rPr>
  </w:style>
  <w:style w:type="paragraph" w:customStyle="1" w:styleId="epr">
    <w:name w:val="epr"/>
    <w:basedOn w:val="ep0"/>
    <w:rsid w:val="00A929F4"/>
    <w:pPr>
      <w:jc w:val="right"/>
    </w:pPr>
  </w:style>
  <w:style w:type="paragraph" w:customStyle="1" w:styleId="es2">
    <w:name w:val="es2"/>
    <w:basedOn w:val="ep0"/>
    <w:rsid w:val="00A929F4"/>
    <w:pPr>
      <w:spacing w:line="20" w:lineRule="exact"/>
    </w:pPr>
  </w:style>
  <w:style w:type="paragraph" w:customStyle="1" w:styleId="ep4">
    <w:name w:val="ep4"/>
    <w:basedOn w:val="ep0"/>
    <w:autoRedefine/>
    <w:rsid w:val="00A929F4"/>
    <w:pPr>
      <w:numPr>
        <w:numId w:val="5"/>
      </w:numPr>
      <w:tabs>
        <w:tab w:val="clear" w:pos="1800"/>
      </w:tabs>
      <w:ind w:left="360" w:hanging="360"/>
    </w:pPr>
  </w:style>
  <w:style w:type="paragraph" w:customStyle="1" w:styleId="Level1">
    <w:name w:val="Level 1"/>
    <w:basedOn w:val="Normal"/>
    <w:rsid w:val="00A929F4"/>
    <w:pPr>
      <w:widowControl w:val="0"/>
      <w:numPr>
        <w:numId w:val="1"/>
      </w:numPr>
      <w:ind w:left="720" w:hanging="720"/>
      <w:outlineLvl w:val="0"/>
    </w:pPr>
    <w:rPr>
      <w:rFonts w:ascii="Times New Roman" w:hAnsi="Times New Roman" w:cs="Times New Roman"/>
      <w:b/>
      <w:bCs/>
      <w:snapToGrid w:val="0"/>
      <w:color w:val="auto"/>
      <w:szCs w:val="20"/>
      <w:lang w:val="en-US"/>
    </w:rPr>
  </w:style>
  <w:style w:type="paragraph" w:customStyle="1" w:styleId="es4">
    <w:name w:val="es4"/>
    <w:basedOn w:val="ep0"/>
    <w:rsid w:val="00A929F4"/>
    <w:pPr>
      <w:spacing w:line="80" w:lineRule="exact"/>
    </w:pPr>
  </w:style>
  <w:style w:type="paragraph" w:customStyle="1" w:styleId="head4">
    <w:name w:val="head4"/>
    <w:rsid w:val="00A929F4"/>
    <w:pPr>
      <w:spacing w:line="180" w:lineRule="exact"/>
      <w:jc w:val="center"/>
    </w:pPr>
    <w:rPr>
      <w:b/>
      <w:sz w:val="16"/>
      <w:szCs w:val="18"/>
      <w:lang w:val="en-ZA"/>
    </w:rPr>
  </w:style>
  <w:style w:type="paragraph" w:customStyle="1" w:styleId="ep5">
    <w:name w:val="ep5"/>
    <w:basedOn w:val="ep0"/>
    <w:autoRedefine/>
    <w:uiPriority w:val="99"/>
    <w:rsid w:val="00A929F4"/>
    <w:pPr>
      <w:jc w:val="left"/>
    </w:pPr>
    <w:rPr>
      <w:caps/>
      <w:color w:val="0000FF"/>
      <w:sz w:val="20"/>
      <w:lang w:val="en-GB"/>
    </w:rPr>
  </w:style>
  <w:style w:type="paragraph" w:customStyle="1" w:styleId="epb">
    <w:name w:val="epb"/>
    <w:basedOn w:val="ep0"/>
    <w:rsid w:val="00A929F4"/>
    <w:rPr>
      <w:b/>
    </w:rPr>
  </w:style>
  <w:style w:type="paragraph" w:customStyle="1" w:styleId="Textbullet2">
    <w:name w:val="Text bullet 2"/>
    <w:qFormat/>
    <w:rsid w:val="00EF1F95"/>
    <w:pPr>
      <w:numPr>
        <w:numId w:val="2"/>
      </w:numPr>
      <w:tabs>
        <w:tab w:val="left" w:pos="113"/>
      </w:tabs>
    </w:pPr>
    <w:rPr>
      <w:noProof/>
      <w:sz w:val="18"/>
      <w:szCs w:val="18"/>
      <w:lang w:val="en-ZA"/>
    </w:rPr>
  </w:style>
  <w:style w:type="paragraph" w:styleId="BodyText">
    <w:name w:val="Body Text"/>
    <w:basedOn w:val="Normal"/>
    <w:semiHidden/>
    <w:rsid w:val="00A929F4"/>
    <w:pPr>
      <w:tabs>
        <w:tab w:val="left" w:pos="-1099"/>
        <w:tab w:val="left" w:pos="-720"/>
        <w:tab w:val="left" w:pos="0"/>
        <w:tab w:val="left" w:pos="360"/>
        <w:tab w:val="left" w:pos="720"/>
        <w:tab w:val="left" w:pos="990"/>
        <w:tab w:val="left" w:pos="1440"/>
        <w:tab w:val="left" w:pos="1800"/>
        <w:tab w:val="left" w:pos="2160"/>
        <w:tab w:val="left" w:pos="2520"/>
        <w:tab w:val="left" w:pos="2880"/>
        <w:tab w:val="left" w:pos="3240"/>
        <w:tab w:val="left" w:pos="3600"/>
        <w:tab w:val="left" w:pos="3960"/>
      </w:tabs>
    </w:pPr>
    <w:rPr>
      <w:b/>
      <w:bCs/>
      <w:i/>
      <w:iCs/>
      <w:sz w:val="20"/>
    </w:rPr>
  </w:style>
  <w:style w:type="paragraph" w:customStyle="1" w:styleId="Medicinebullet1">
    <w:name w:val="Medicine bullet 1"/>
    <w:qFormat/>
    <w:rsid w:val="00BC6FC5"/>
    <w:rPr>
      <w:noProof/>
      <w:sz w:val="18"/>
      <w:szCs w:val="18"/>
      <w:lang w:val="en-ZA"/>
    </w:rPr>
  </w:style>
  <w:style w:type="paragraph" w:customStyle="1" w:styleId="a">
    <w:name w:val="_"/>
    <w:basedOn w:val="Normal"/>
    <w:rsid w:val="00A929F4"/>
    <w:pPr>
      <w:widowControl w:val="0"/>
      <w:ind w:left="720" w:hanging="720"/>
    </w:pPr>
    <w:rPr>
      <w:rFonts w:ascii="Times New Roman" w:hAnsi="Times New Roman" w:cs="Times New Roman"/>
      <w:b/>
      <w:bCs/>
      <w:snapToGrid w:val="0"/>
      <w:color w:val="auto"/>
      <w:szCs w:val="20"/>
      <w:lang w:val="en-US"/>
    </w:rPr>
  </w:style>
  <w:style w:type="paragraph" w:styleId="BodyText2">
    <w:name w:val="Body Text 2"/>
    <w:basedOn w:val="Normal"/>
    <w:semiHidden/>
    <w:rsid w:val="00A929F4"/>
    <w:rPr>
      <w:sz w:val="20"/>
    </w:rPr>
  </w:style>
  <w:style w:type="paragraph" w:styleId="BodyText3">
    <w:name w:val="Body Text 3"/>
    <w:basedOn w:val="Normal"/>
    <w:semiHidden/>
    <w:rsid w:val="00A929F4"/>
    <w:rPr>
      <w:b/>
      <w:bCs/>
      <w:sz w:val="20"/>
    </w:rPr>
  </w:style>
  <w:style w:type="paragraph" w:styleId="Header">
    <w:name w:val="header"/>
    <w:basedOn w:val="Normal"/>
    <w:link w:val="HeaderChar"/>
    <w:uiPriority w:val="99"/>
    <w:rsid w:val="00AF418F"/>
    <w:pPr>
      <w:pBdr>
        <w:bottom w:val="single" w:sz="18" w:space="1" w:color="auto"/>
      </w:pBdr>
      <w:tabs>
        <w:tab w:val="center" w:pos="5040"/>
        <w:tab w:val="right" w:pos="8306"/>
      </w:tabs>
      <w:spacing w:after="60"/>
    </w:pPr>
    <w:rPr>
      <w:rFonts w:cs="Times New Roman"/>
      <w:b/>
      <w:smallCaps/>
    </w:rPr>
  </w:style>
  <w:style w:type="paragraph" w:styleId="Footer">
    <w:name w:val="footer"/>
    <w:basedOn w:val="Normal"/>
    <w:link w:val="FooterChar"/>
    <w:autoRedefine/>
    <w:uiPriority w:val="99"/>
    <w:rsid w:val="00B81570"/>
    <w:pPr>
      <w:pBdr>
        <w:top w:val="single" w:sz="4" w:space="1" w:color="auto"/>
      </w:pBdr>
      <w:tabs>
        <w:tab w:val="center" w:pos="6030"/>
        <w:tab w:val="right" w:pos="8306"/>
      </w:tabs>
      <w:ind w:right="4"/>
      <w:jc w:val="center"/>
    </w:pPr>
    <w:rPr>
      <w:rFonts w:cs="Times New Roman"/>
      <w:sz w:val="16"/>
    </w:rPr>
  </w:style>
  <w:style w:type="character" w:styleId="PageNumber">
    <w:name w:val="page number"/>
    <w:basedOn w:val="DefaultParagraphFont"/>
    <w:semiHidden/>
    <w:rsid w:val="00A929F4"/>
  </w:style>
  <w:style w:type="paragraph" w:styleId="BalloonText">
    <w:name w:val="Balloon Text"/>
    <w:basedOn w:val="Normal"/>
    <w:semiHidden/>
    <w:rsid w:val="00A929F4"/>
    <w:rPr>
      <w:rFonts w:ascii="Tahoma" w:hAnsi="Tahoma" w:cs="Tahoma"/>
      <w:sz w:val="16"/>
    </w:rPr>
  </w:style>
  <w:style w:type="character" w:styleId="Hyperlink">
    <w:name w:val="Hyperlink"/>
    <w:uiPriority w:val="99"/>
    <w:rsid w:val="00A929F4"/>
    <w:rPr>
      <w:color w:val="0000FF"/>
      <w:u w:val="single"/>
    </w:rPr>
  </w:style>
  <w:style w:type="paragraph" w:styleId="CommentText">
    <w:name w:val="annotation text"/>
    <w:basedOn w:val="Normal"/>
    <w:link w:val="CommentTextChar"/>
    <w:rsid w:val="00A929F4"/>
    <w:rPr>
      <w:rFonts w:cs="Times New Roman"/>
      <w:b/>
      <w:bCs/>
      <w:color w:val="auto"/>
      <w:sz w:val="20"/>
      <w:szCs w:val="20"/>
    </w:rPr>
  </w:style>
  <w:style w:type="paragraph" w:styleId="BodyTextIndent3">
    <w:name w:val="Body Text Indent 3"/>
    <w:basedOn w:val="Normal"/>
    <w:semiHidden/>
    <w:rsid w:val="00A929F4"/>
    <w:pPr>
      <w:ind w:left="3600" w:hanging="1440"/>
    </w:pPr>
    <w:rPr>
      <w:rFonts w:cs="Times New Roman"/>
      <w:b/>
      <w:bCs/>
      <w:color w:val="auto"/>
      <w:szCs w:val="20"/>
      <w:lang w:val="en-AU"/>
    </w:rPr>
  </w:style>
  <w:style w:type="paragraph" w:styleId="FootnoteText">
    <w:name w:val="footnote text"/>
    <w:basedOn w:val="Normal"/>
    <w:link w:val="FootnoteTextChar"/>
    <w:rsid w:val="00A929F4"/>
    <w:rPr>
      <w:rFonts w:ascii="Times New Roman" w:hAnsi="Times New Roman" w:cs="Times New Roman"/>
      <w:b/>
      <w:bCs/>
      <w:color w:val="auto"/>
      <w:sz w:val="20"/>
      <w:szCs w:val="20"/>
      <w:lang w:val="en-AU"/>
    </w:rPr>
  </w:style>
  <w:style w:type="character" w:styleId="FootnoteReference">
    <w:name w:val="footnote reference"/>
    <w:rsid w:val="00A929F4"/>
    <w:rPr>
      <w:vertAlign w:val="superscript"/>
    </w:rPr>
  </w:style>
  <w:style w:type="character" w:styleId="CommentReference">
    <w:name w:val="annotation reference"/>
    <w:semiHidden/>
    <w:rsid w:val="00A929F4"/>
    <w:rPr>
      <w:sz w:val="16"/>
      <w:szCs w:val="16"/>
    </w:rPr>
  </w:style>
  <w:style w:type="paragraph" w:styleId="CommentSubject">
    <w:name w:val="annotation subject"/>
    <w:basedOn w:val="CommentText"/>
    <w:next w:val="CommentText"/>
    <w:semiHidden/>
    <w:rsid w:val="00A929F4"/>
    <w:rPr>
      <w:rFonts w:cs="Arial"/>
      <w:b w:val="0"/>
      <w:bCs w:val="0"/>
      <w:color w:val="000000"/>
    </w:rPr>
  </w:style>
  <w:style w:type="paragraph" w:customStyle="1" w:styleId="Textbullet">
    <w:name w:val="Text bullet"/>
    <w:basedOn w:val="Normal"/>
    <w:qFormat/>
    <w:rsid w:val="00FD172D"/>
    <w:pPr>
      <w:numPr>
        <w:numId w:val="6"/>
      </w:numPr>
      <w:tabs>
        <w:tab w:val="clear" w:pos="2694"/>
        <w:tab w:val="clear" w:pos="2977"/>
      </w:tabs>
    </w:pPr>
  </w:style>
  <w:style w:type="paragraph" w:styleId="Title">
    <w:name w:val="Title"/>
    <w:basedOn w:val="Normal"/>
    <w:autoRedefine/>
    <w:qFormat/>
    <w:rsid w:val="00A929F4"/>
    <w:pPr>
      <w:shd w:val="clear" w:color="auto" w:fill="000000"/>
      <w:jc w:val="center"/>
      <w:outlineLvl w:val="0"/>
    </w:pPr>
    <w:rPr>
      <w:b/>
      <w:caps/>
      <w:color w:val="auto"/>
      <w:kern w:val="28"/>
      <w:sz w:val="24"/>
      <w:szCs w:val="32"/>
    </w:rPr>
  </w:style>
  <w:style w:type="paragraph" w:customStyle="1" w:styleId="Normalb">
    <w:name w:val="Normalb"/>
    <w:basedOn w:val="Normal"/>
    <w:autoRedefine/>
    <w:rsid w:val="00A929F4"/>
    <w:rPr>
      <w:b/>
    </w:rPr>
  </w:style>
  <w:style w:type="paragraph" w:customStyle="1" w:styleId="ICD10heading">
    <w:name w:val="ICD10 heading"/>
    <w:basedOn w:val="Heading3"/>
    <w:qFormat/>
    <w:rsid w:val="00AF418F"/>
    <w:rPr>
      <w:b w:val="0"/>
      <w:sz w:val="16"/>
    </w:rPr>
  </w:style>
  <w:style w:type="paragraph" w:customStyle="1" w:styleId="Normali">
    <w:name w:val="Normali"/>
    <w:basedOn w:val="Normal"/>
    <w:autoRedefine/>
    <w:rsid w:val="00A06FE9"/>
    <w:pPr>
      <w:ind w:left="357"/>
    </w:pPr>
  </w:style>
  <w:style w:type="paragraph" w:customStyle="1" w:styleId="Style2">
    <w:name w:val="Style2"/>
    <w:basedOn w:val="Normal"/>
    <w:rsid w:val="00A929F4"/>
    <w:rPr>
      <w:iCs/>
      <w:color w:val="auto"/>
      <w:szCs w:val="24"/>
    </w:rPr>
  </w:style>
  <w:style w:type="table" w:styleId="TableGrid">
    <w:name w:val="Table Grid"/>
    <w:basedOn w:val="TableNormal"/>
    <w:uiPriority w:val="39"/>
    <w:rsid w:val="009B56D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l2ndle01">
    <w:name w:val="edl 2nd le01"/>
    <w:basedOn w:val="Normal"/>
    <w:rsid w:val="00952418"/>
    <w:pPr>
      <w:widowControl w:val="0"/>
      <w:shd w:val="pct20" w:color="000000" w:fill="FFFFFF"/>
      <w:autoSpaceDE w:val="0"/>
      <w:autoSpaceDN w:val="0"/>
      <w:adjustRightInd w:val="0"/>
      <w:jc w:val="left"/>
    </w:pPr>
    <w:rPr>
      <w:rFonts w:ascii="Times New Roman" w:hAnsi="Times New Roman" w:cs="Times New Roman"/>
      <w:b/>
      <w:bCs/>
      <w:color w:val="auto"/>
      <w:sz w:val="22"/>
      <w:szCs w:val="22"/>
      <w:lang w:val="en-US"/>
    </w:rPr>
  </w:style>
  <w:style w:type="paragraph" w:customStyle="1" w:styleId="EDL3HEADING">
    <w:name w:val="EDL3 HEADING"/>
    <w:basedOn w:val="Normal"/>
    <w:rsid w:val="00952418"/>
    <w:pPr>
      <w:widowControl w:val="0"/>
      <w:shd w:val="pct20" w:color="000000" w:fill="FFFFFF"/>
      <w:autoSpaceDE w:val="0"/>
      <w:autoSpaceDN w:val="0"/>
      <w:adjustRightInd w:val="0"/>
      <w:jc w:val="left"/>
    </w:pPr>
    <w:rPr>
      <w:b/>
      <w:bCs/>
      <w:lang w:val="en-US"/>
    </w:rPr>
  </w:style>
  <w:style w:type="paragraph" w:customStyle="1" w:styleId="1">
    <w:name w:val="_1"/>
    <w:basedOn w:val="Normal"/>
    <w:rsid w:val="00952418"/>
    <w:pPr>
      <w:widowControl w:val="0"/>
      <w:autoSpaceDE w:val="0"/>
      <w:autoSpaceDN w:val="0"/>
      <w:adjustRightInd w:val="0"/>
      <w:ind w:left="333" w:hanging="170"/>
      <w:jc w:val="left"/>
    </w:pPr>
    <w:rPr>
      <w:rFonts w:ascii="Times New Roman" w:hAnsi="Times New Roman" w:cs="Times New Roman"/>
      <w:color w:val="auto"/>
      <w:sz w:val="24"/>
      <w:szCs w:val="24"/>
      <w:lang w:val="en-US"/>
    </w:rPr>
  </w:style>
  <w:style w:type="character" w:customStyle="1" w:styleId="CommentTextChar">
    <w:name w:val="Comment Text Char"/>
    <w:link w:val="CommentText"/>
    <w:rsid w:val="00DF7DBD"/>
    <w:rPr>
      <w:rFonts w:ascii="Arial" w:hAnsi="Arial"/>
      <w:b/>
      <w:bCs/>
      <w:noProof/>
      <w:lang w:val="en-ZA" w:eastAsia="en-US" w:bidi="ar-SA"/>
    </w:rPr>
  </w:style>
  <w:style w:type="character" w:customStyle="1" w:styleId="HeaderChar">
    <w:name w:val="Header Char"/>
    <w:link w:val="Header"/>
    <w:uiPriority w:val="99"/>
    <w:rsid w:val="00AF418F"/>
    <w:rPr>
      <w:rFonts w:cs="Arial"/>
      <w:b/>
      <w:smallCaps/>
      <w:noProof/>
      <w:color w:val="000000"/>
      <w:sz w:val="18"/>
      <w:szCs w:val="18"/>
      <w:lang w:eastAsia="en-US"/>
    </w:rPr>
  </w:style>
  <w:style w:type="paragraph" w:customStyle="1" w:styleId="ChapterHeader">
    <w:name w:val="Chapter Header"/>
    <w:qFormat/>
    <w:rsid w:val="00085248"/>
    <w:pPr>
      <w:spacing w:line="360" w:lineRule="auto"/>
      <w:jc w:val="center"/>
    </w:pPr>
    <w:rPr>
      <w:rFonts w:cs="Arial"/>
      <w:b/>
      <w:noProof/>
      <w:color w:val="000000"/>
      <w:sz w:val="28"/>
      <w:szCs w:val="18"/>
      <w:lang w:val="en-ZA"/>
    </w:rPr>
  </w:style>
  <w:style w:type="paragraph" w:customStyle="1" w:styleId="Style1">
    <w:name w:val="Style1"/>
    <w:basedOn w:val="Normal"/>
    <w:next w:val="ChapterHeader"/>
    <w:autoRedefine/>
    <w:qFormat/>
    <w:rsid w:val="00DA2E18"/>
    <w:pPr>
      <w:jc w:val="center"/>
    </w:pPr>
    <w:rPr>
      <w:b/>
    </w:rPr>
  </w:style>
  <w:style w:type="paragraph" w:styleId="Revision">
    <w:name w:val="Revision"/>
    <w:hidden/>
    <w:uiPriority w:val="99"/>
    <w:semiHidden/>
    <w:rsid w:val="0062249F"/>
    <w:rPr>
      <w:rFonts w:cs="Arial"/>
      <w:noProof/>
      <w:color w:val="000000"/>
      <w:sz w:val="18"/>
      <w:szCs w:val="18"/>
      <w:lang w:val="en-ZA"/>
    </w:rPr>
  </w:style>
  <w:style w:type="character" w:customStyle="1" w:styleId="FooterChar">
    <w:name w:val="Footer Char"/>
    <w:link w:val="Footer"/>
    <w:uiPriority w:val="99"/>
    <w:rsid w:val="00B81570"/>
    <w:rPr>
      <w:color w:val="000000"/>
      <w:sz w:val="16"/>
      <w:szCs w:val="18"/>
      <w:lang w:val="en-ZA"/>
    </w:rPr>
  </w:style>
  <w:style w:type="paragraph" w:customStyle="1" w:styleId="Default">
    <w:name w:val="Default"/>
    <w:rsid w:val="00D915E7"/>
    <w:pPr>
      <w:autoSpaceDE w:val="0"/>
      <w:autoSpaceDN w:val="0"/>
      <w:adjustRightInd w:val="0"/>
    </w:pPr>
    <w:rPr>
      <w:rFonts w:ascii="Calibri" w:hAnsi="Calibri" w:cs="Calibri"/>
      <w:color w:val="000000"/>
      <w:sz w:val="24"/>
      <w:szCs w:val="24"/>
      <w:lang w:val="en-ZA" w:eastAsia="en-ZA"/>
    </w:rPr>
  </w:style>
  <w:style w:type="paragraph" w:styleId="ListParagraph">
    <w:name w:val="List Paragraph"/>
    <w:basedOn w:val="Normal"/>
    <w:uiPriority w:val="34"/>
    <w:qFormat/>
    <w:rsid w:val="00D31934"/>
    <w:pPr>
      <w:tabs>
        <w:tab w:val="clear" w:pos="2694"/>
        <w:tab w:val="clear" w:pos="2977"/>
      </w:tabs>
      <w:ind w:left="720"/>
      <w:contextualSpacing/>
      <w:jc w:val="left"/>
    </w:pPr>
    <w:rPr>
      <w:rFonts w:ascii="Times New Roman" w:hAnsi="Times New Roman" w:cs="Times New Roman"/>
      <w:color w:val="auto"/>
      <w:sz w:val="24"/>
      <w:szCs w:val="24"/>
      <w:lang w:val="en-GB" w:eastAsia="en-GB"/>
    </w:rPr>
  </w:style>
  <w:style w:type="paragraph" w:styleId="EndnoteText">
    <w:name w:val="endnote text"/>
    <w:basedOn w:val="Normal"/>
    <w:link w:val="EndnoteTextChar"/>
    <w:rsid w:val="00D431A6"/>
    <w:pPr>
      <w:tabs>
        <w:tab w:val="clear" w:pos="2694"/>
        <w:tab w:val="clear" w:pos="2977"/>
      </w:tabs>
      <w:jc w:val="left"/>
    </w:pPr>
    <w:rPr>
      <w:rFonts w:ascii="Times New Roman" w:hAnsi="Times New Roman" w:cs="Times New Roman"/>
      <w:color w:val="auto"/>
      <w:sz w:val="20"/>
      <w:szCs w:val="20"/>
      <w:lang w:val="en-GB"/>
    </w:rPr>
  </w:style>
  <w:style w:type="character" w:customStyle="1" w:styleId="EndnoteTextChar">
    <w:name w:val="Endnote Text Char"/>
    <w:link w:val="EndnoteText"/>
    <w:rsid w:val="00D431A6"/>
    <w:rPr>
      <w:rFonts w:ascii="Times New Roman" w:hAnsi="Times New Roman"/>
      <w:lang w:val="en-GB"/>
    </w:rPr>
  </w:style>
  <w:style w:type="character" w:styleId="EndnoteReference">
    <w:name w:val="endnote reference"/>
    <w:rsid w:val="00D431A6"/>
    <w:rPr>
      <w:vertAlign w:val="superscript"/>
    </w:rPr>
  </w:style>
  <w:style w:type="character" w:customStyle="1" w:styleId="FootnoteTextChar">
    <w:name w:val="Footnote Text Char"/>
    <w:link w:val="FootnoteText"/>
    <w:rsid w:val="00237ED1"/>
    <w:rPr>
      <w:rFonts w:ascii="Times New Roman" w:hAnsi="Times New Roman"/>
      <w:b/>
      <w:bCs/>
      <w:noProof/>
      <w:lang w:val="en-AU" w:eastAsia="en-US"/>
    </w:rPr>
  </w:style>
  <w:style w:type="paragraph" w:customStyle="1" w:styleId="Bullet1">
    <w:name w:val="Bullet 1"/>
    <w:basedOn w:val="Normal"/>
    <w:autoRedefine/>
    <w:rsid w:val="002059B5"/>
    <w:pPr>
      <w:tabs>
        <w:tab w:val="clear" w:pos="2694"/>
        <w:tab w:val="clear" w:pos="2977"/>
      </w:tabs>
      <w:overflowPunct w:val="0"/>
      <w:autoSpaceDE w:val="0"/>
      <w:autoSpaceDN w:val="0"/>
      <w:adjustRightInd w:val="0"/>
      <w:ind w:left="360"/>
      <w:textAlignment w:val="baseline"/>
    </w:pPr>
    <w:rPr>
      <w:color w:val="auto"/>
      <w:szCs w:val="24"/>
      <w:lang w:val="en-US"/>
    </w:rPr>
  </w:style>
  <w:style w:type="character" w:customStyle="1" w:styleId="nowrap">
    <w:name w:val="nowrap"/>
    <w:rsid w:val="006A60BA"/>
  </w:style>
  <w:style w:type="character" w:customStyle="1" w:styleId="glyph">
    <w:name w:val="glyph"/>
    <w:rsid w:val="006A60BA"/>
  </w:style>
  <w:style w:type="paragraph" w:customStyle="1" w:styleId="bulletindent11">
    <w:name w:val="bulletindent11"/>
    <w:basedOn w:val="Normal"/>
    <w:rsid w:val="006A60BA"/>
    <w:pPr>
      <w:tabs>
        <w:tab w:val="clear" w:pos="2694"/>
        <w:tab w:val="clear" w:pos="2977"/>
      </w:tabs>
      <w:spacing w:before="30" w:after="30" w:line="336" w:lineRule="auto"/>
      <w:ind w:left="480"/>
      <w:jc w:val="left"/>
    </w:pPr>
    <w:rPr>
      <w:rFonts w:ascii="Times New Roman" w:hAnsi="Times New Roman" w:cs="Times New Roman"/>
      <w:color w:val="auto"/>
      <w:sz w:val="24"/>
      <w:szCs w:val="24"/>
      <w:lang w:eastAsia="en-ZA"/>
    </w:rPr>
  </w:style>
  <w:style w:type="character" w:customStyle="1" w:styleId="groupwisereplyheader">
    <w:name w:val="groupwisereplyheader"/>
    <w:basedOn w:val="DefaultParagraphFont"/>
    <w:rsid w:val="00391193"/>
  </w:style>
  <w:style w:type="character" w:styleId="FollowedHyperlink">
    <w:name w:val="FollowedHyperlink"/>
    <w:basedOn w:val="DefaultParagraphFont"/>
    <w:uiPriority w:val="99"/>
    <w:semiHidden/>
    <w:unhideWhenUsed/>
    <w:rsid w:val="00A246BD"/>
    <w:rPr>
      <w:color w:val="800080" w:themeColor="followedHyperlink"/>
      <w:u w:val="single"/>
    </w:rPr>
  </w:style>
  <w:style w:type="paragraph" w:styleId="NormalWeb">
    <w:name w:val="Normal (Web)"/>
    <w:basedOn w:val="Normal"/>
    <w:uiPriority w:val="99"/>
    <w:unhideWhenUsed/>
    <w:rsid w:val="006223E4"/>
    <w:pPr>
      <w:tabs>
        <w:tab w:val="clear" w:pos="2694"/>
        <w:tab w:val="clear" w:pos="2977"/>
      </w:tabs>
      <w:spacing w:before="100" w:beforeAutospacing="1" w:after="100" w:afterAutospacing="1"/>
      <w:jc w:val="left"/>
    </w:pPr>
    <w:rPr>
      <w:rFonts w:ascii="Times New Roman" w:hAnsi="Times New Roman" w:cs="Times New Roman"/>
      <w:color w:val="auto"/>
      <w:sz w:val="24"/>
      <w:szCs w:val="24"/>
      <w:lang w:eastAsia="en-GB"/>
    </w:rPr>
  </w:style>
  <w:style w:type="character" w:customStyle="1" w:styleId="UnresolvedMention1">
    <w:name w:val="Unresolved Mention1"/>
    <w:basedOn w:val="DefaultParagraphFont"/>
    <w:uiPriority w:val="99"/>
    <w:semiHidden/>
    <w:unhideWhenUsed/>
    <w:rsid w:val="00321E69"/>
    <w:rPr>
      <w:color w:val="605E5C"/>
      <w:shd w:val="clear" w:color="auto" w:fill="E1DFDD"/>
    </w:rPr>
  </w:style>
  <w:style w:type="paragraph" w:customStyle="1" w:styleId="BulletMedicine">
    <w:name w:val="Bullet Medicine"/>
    <w:basedOn w:val="Normal"/>
    <w:next w:val="Normal"/>
    <w:uiPriority w:val="5"/>
    <w:qFormat/>
    <w:rsid w:val="00F15E87"/>
    <w:pPr>
      <w:numPr>
        <w:numId w:val="38"/>
      </w:numPr>
      <w:tabs>
        <w:tab w:val="clear" w:pos="2694"/>
        <w:tab w:val="clear" w:pos="2977"/>
      </w:tabs>
      <w:jc w:val="left"/>
    </w:pPr>
    <w:rPr>
      <w:rFonts w:eastAsiaTheme="minorHAnsi" w:cstheme="minorBidi"/>
      <w:color w:val="auto"/>
      <w:spacing w:val="-4"/>
    </w:rPr>
  </w:style>
  <w:style w:type="paragraph" w:customStyle="1" w:styleId="LoEText">
    <w:name w:val="LoE Text"/>
    <w:basedOn w:val="Normal"/>
    <w:uiPriority w:val="3"/>
    <w:qFormat/>
    <w:rsid w:val="00F15E87"/>
    <w:pPr>
      <w:framePr w:hSpace="284" w:wrap="around" w:vAnchor="text" w:hAnchor="margin" w:xAlign="right" w:y="1"/>
      <w:tabs>
        <w:tab w:val="clear" w:pos="2694"/>
        <w:tab w:val="clear" w:pos="2977"/>
      </w:tabs>
      <w:suppressOverlap/>
      <w:jc w:val="right"/>
    </w:pPr>
    <w:rPr>
      <w:rFonts w:eastAsiaTheme="minorHAnsi" w:cstheme="minorBidi"/>
      <w:i/>
      <w:color w:val="auto"/>
      <w:spacing w:val="-4"/>
      <w:sz w:val="16"/>
      <w:szCs w:val="16"/>
    </w:rPr>
  </w:style>
  <w:style w:type="character" w:styleId="UnresolvedMention">
    <w:name w:val="Unresolved Mention"/>
    <w:basedOn w:val="DefaultParagraphFont"/>
    <w:uiPriority w:val="99"/>
    <w:semiHidden/>
    <w:unhideWhenUsed/>
    <w:rsid w:val="003544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99839">
      <w:bodyDiv w:val="1"/>
      <w:marLeft w:val="0"/>
      <w:marRight w:val="0"/>
      <w:marTop w:val="0"/>
      <w:marBottom w:val="0"/>
      <w:divBdr>
        <w:top w:val="none" w:sz="0" w:space="0" w:color="auto"/>
        <w:left w:val="none" w:sz="0" w:space="0" w:color="auto"/>
        <w:bottom w:val="none" w:sz="0" w:space="0" w:color="auto"/>
        <w:right w:val="none" w:sz="0" w:space="0" w:color="auto"/>
      </w:divBdr>
      <w:divsChild>
        <w:div w:id="1664508334">
          <w:marLeft w:val="0"/>
          <w:marRight w:val="0"/>
          <w:marTop w:val="0"/>
          <w:marBottom w:val="0"/>
          <w:divBdr>
            <w:top w:val="none" w:sz="0" w:space="0" w:color="auto"/>
            <w:left w:val="none" w:sz="0" w:space="0" w:color="auto"/>
            <w:bottom w:val="none" w:sz="0" w:space="0" w:color="auto"/>
            <w:right w:val="none" w:sz="0" w:space="0" w:color="auto"/>
          </w:divBdr>
          <w:divsChild>
            <w:div w:id="644091023">
              <w:marLeft w:val="0"/>
              <w:marRight w:val="0"/>
              <w:marTop w:val="0"/>
              <w:marBottom w:val="0"/>
              <w:divBdr>
                <w:top w:val="none" w:sz="0" w:space="0" w:color="auto"/>
                <w:left w:val="none" w:sz="0" w:space="0" w:color="auto"/>
                <w:bottom w:val="none" w:sz="0" w:space="0" w:color="auto"/>
                <w:right w:val="none" w:sz="0" w:space="0" w:color="auto"/>
              </w:divBdr>
              <w:divsChild>
                <w:div w:id="832836477">
                  <w:marLeft w:val="480"/>
                  <w:marRight w:val="480"/>
                  <w:marTop w:val="480"/>
                  <w:marBottom w:val="480"/>
                  <w:divBdr>
                    <w:top w:val="none" w:sz="0" w:space="0" w:color="auto"/>
                    <w:left w:val="none" w:sz="0" w:space="0" w:color="auto"/>
                    <w:bottom w:val="none" w:sz="0" w:space="0" w:color="auto"/>
                    <w:right w:val="none" w:sz="0" w:space="0" w:color="auto"/>
                  </w:divBdr>
                  <w:divsChild>
                    <w:div w:id="176043423">
                      <w:marLeft w:val="0"/>
                      <w:marRight w:val="0"/>
                      <w:marTop w:val="0"/>
                      <w:marBottom w:val="0"/>
                      <w:divBdr>
                        <w:top w:val="single" w:sz="12" w:space="5" w:color="000000"/>
                        <w:left w:val="none" w:sz="0" w:space="0" w:color="auto"/>
                        <w:bottom w:val="none" w:sz="0" w:space="0" w:color="auto"/>
                        <w:right w:val="none" w:sz="0" w:space="0" w:color="auto"/>
                      </w:divBdr>
                      <w:divsChild>
                        <w:div w:id="111027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886618">
      <w:bodyDiv w:val="1"/>
      <w:marLeft w:val="0"/>
      <w:marRight w:val="0"/>
      <w:marTop w:val="0"/>
      <w:marBottom w:val="0"/>
      <w:divBdr>
        <w:top w:val="none" w:sz="0" w:space="0" w:color="auto"/>
        <w:left w:val="none" w:sz="0" w:space="0" w:color="auto"/>
        <w:bottom w:val="none" w:sz="0" w:space="0" w:color="auto"/>
        <w:right w:val="none" w:sz="0" w:space="0" w:color="auto"/>
      </w:divBdr>
    </w:div>
    <w:div w:id="327097291">
      <w:bodyDiv w:val="1"/>
      <w:marLeft w:val="0"/>
      <w:marRight w:val="0"/>
      <w:marTop w:val="0"/>
      <w:marBottom w:val="0"/>
      <w:divBdr>
        <w:top w:val="none" w:sz="0" w:space="0" w:color="auto"/>
        <w:left w:val="none" w:sz="0" w:space="0" w:color="auto"/>
        <w:bottom w:val="none" w:sz="0" w:space="0" w:color="auto"/>
        <w:right w:val="none" w:sz="0" w:space="0" w:color="auto"/>
      </w:divBdr>
    </w:div>
    <w:div w:id="369037104">
      <w:bodyDiv w:val="1"/>
      <w:marLeft w:val="0"/>
      <w:marRight w:val="0"/>
      <w:marTop w:val="0"/>
      <w:marBottom w:val="0"/>
      <w:divBdr>
        <w:top w:val="none" w:sz="0" w:space="0" w:color="auto"/>
        <w:left w:val="none" w:sz="0" w:space="0" w:color="auto"/>
        <w:bottom w:val="none" w:sz="0" w:space="0" w:color="auto"/>
        <w:right w:val="none" w:sz="0" w:space="0" w:color="auto"/>
      </w:divBdr>
      <w:divsChild>
        <w:div w:id="1083264756">
          <w:marLeft w:val="0"/>
          <w:marRight w:val="0"/>
          <w:marTop w:val="0"/>
          <w:marBottom w:val="0"/>
          <w:divBdr>
            <w:top w:val="none" w:sz="0" w:space="0" w:color="auto"/>
            <w:left w:val="none" w:sz="0" w:space="0" w:color="auto"/>
            <w:bottom w:val="none" w:sz="0" w:space="0" w:color="auto"/>
            <w:right w:val="none" w:sz="0" w:space="0" w:color="auto"/>
          </w:divBdr>
          <w:divsChild>
            <w:div w:id="1187908180">
              <w:marLeft w:val="0"/>
              <w:marRight w:val="0"/>
              <w:marTop w:val="0"/>
              <w:marBottom w:val="0"/>
              <w:divBdr>
                <w:top w:val="none" w:sz="0" w:space="0" w:color="auto"/>
                <w:left w:val="none" w:sz="0" w:space="0" w:color="auto"/>
                <w:bottom w:val="none" w:sz="0" w:space="0" w:color="auto"/>
                <w:right w:val="none" w:sz="0" w:space="0" w:color="auto"/>
              </w:divBdr>
              <w:divsChild>
                <w:div w:id="1931499371">
                  <w:marLeft w:val="0"/>
                  <w:marRight w:val="0"/>
                  <w:marTop w:val="0"/>
                  <w:marBottom w:val="0"/>
                  <w:divBdr>
                    <w:top w:val="none" w:sz="0" w:space="0" w:color="auto"/>
                    <w:left w:val="none" w:sz="0" w:space="0" w:color="auto"/>
                    <w:bottom w:val="none" w:sz="0" w:space="0" w:color="auto"/>
                    <w:right w:val="none" w:sz="0" w:space="0" w:color="auto"/>
                  </w:divBdr>
                  <w:divsChild>
                    <w:div w:id="161220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337739">
      <w:bodyDiv w:val="1"/>
      <w:marLeft w:val="0"/>
      <w:marRight w:val="0"/>
      <w:marTop w:val="0"/>
      <w:marBottom w:val="0"/>
      <w:divBdr>
        <w:top w:val="none" w:sz="0" w:space="0" w:color="auto"/>
        <w:left w:val="none" w:sz="0" w:space="0" w:color="auto"/>
        <w:bottom w:val="none" w:sz="0" w:space="0" w:color="auto"/>
        <w:right w:val="none" w:sz="0" w:space="0" w:color="auto"/>
      </w:divBdr>
    </w:div>
    <w:div w:id="933395473">
      <w:bodyDiv w:val="1"/>
      <w:marLeft w:val="0"/>
      <w:marRight w:val="0"/>
      <w:marTop w:val="0"/>
      <w:marBottom w:val="0"/>
      <w:divBdr>
        <w:top w:val="none" w:sz="0" w:space="0" w:color="auto"/>
        <w:left w:val="none" w:sz="0" w:space="0" w:color="auto"/>
        <w:bottom w:val="none" w:sz="0" w:space="0" w:color="auto"/>
        <w:right w:val="none" w:sz="0" w:space="0" w:color="auto"/>
      </w:divBdr>
    </w:div>
    <w:div w:id="1456484293">
      <w:bodyDiv w:val="1"/>
      <w:marLeft w:val="0"/>
      <w:marRight w:val="0"/>
      <w:marTop w:val="0"/>
      <w:marBottom w:val="0"/>
      <w:divBdr>
        <w:top w:val="none" w:sz="0" w:space="0" w:color="auto"/>
        <w:left w:val="none" w:sz="0" w:space="0" w:color="auto"/>
        <w:bottom w:val="none" w:sz="0" w:space="0" w:color="auto"/>
        <w:right w:val="none" w:sz="0" w:space="0" w:color="auto"/>
      </w:divBdr>
      <w:divsChild>
        <w:div w:id="1752459337">
          <w:marLeft w:val="0"/>
          <w:marRight w:val="0"/>
          <w:marTop w:val="0"/>
          <w:marBottom w:val="0"/>
          <w:divBdr>
            <w:top w:val="none" w:sz="0" w:space="0" w:color="auto"/>
            <w:left w:val="none" w:sz="0" w:space="0" w:color="auto"/>
            <w:bottom w:val="none" w:sz="0" w:space="0" w:color="auto"/>
            <w:right w:val="none" w:sz="0" w:space="0" w:color="auto"/>
          </w:divBdr>
          <w:divsChild>
            <w:div w:id="1036353314">
              <w:marLeft w:val="0"/>
              <w:marRight w:val="0"/>
              <w:marTop w:val="0"/>
              <w:marBottom w:val="0"/>
              <w:divBdr>
                <w:top w:val="none" w:sz="0" w:space="0" w:color="auto"/>
                <w:left w:val="none" w:sz="0" w:space="0" w:color="auto"/>
                <w:bottom w:val="none" w:sz="0" w:space="0" w:color="auto"/>
                <w:right w:val="none" w:sz="0" w:space="0" w:color="auto"/>
              </w:divBdr>
              <w:divsChild>
                <w:div w:id="1342002230">
                  <w:marLeft w:val="0"/>
                  <w:marRight w:val="0"/>
                  <w:marTop w:val="0"/>
                  <w:marBottom w:val="0"/>
                  <w:divBdr>
                    <w:top w:val="none" w:sz="0" w:space="0" w:color="auto"/>
                    <w:left w:val="none" w:sz="0" w:space="0" w:color="auto"/>
                    <w:bottom w:val="none" w:sz="0" w:space="0" w:color="auto"/>
                    <w:right w:val="none" w:sz="0" w:space="0" w:color="auto"/>
                  </w:divBdr>
                  <w:divsChild>
                    <w:div w:id="365250818">
                      <w:marLeft w:val="0"/>
                      <w:marRight w:val="0"/>
                      <w:marTop w:val="0"/>
                      <w:marBottom w:val="0"/>
                      <w:divBdr>
                        <w:top w:val="none" w:sz="0" w:space="0" w:color="auto"/>
                        <w:left w:val="none" w:sz="0" w:space="0" w:color="auto"/>
                        <w:bottom w:val="none" w:sz="0" w:space="0" w:color="auto"/>
                        <w:right w:val="none" w:sz="0" w:space="0" w:color="auto"/>
                      </w:divBdr>
                    </w:div>
                    <w:div w:id="398669430">
                      <w:marLeft w:val="0"/>
                      <w:marRight w:val="0"/>
                      <w:marTop w:val="0"/>
                      <w:marBottom w:val="0"/>
                      <w:divBdr>
                        <w:top w:val="none" w:sz="0" w:space="0" w:color="auto"/>
                        <w:left w:val="none" w:sz="0" w:space="0" w:color="auto"/>
                        <w:bottom w:val="none" w:sz="0" w:space="0" w:color="auto"/>
                        <w:right w:val="none" w:sz="0" w:space="0" w:color="auto"/>
                      </w:divBdr>
                      <w:divsChild>
                        <w:div w:id="327826183">
                          <w:marLeft w:val="0"/>
                          <w:marRight w:val="0"/>
                          <w:marTop w:val="0"/>
                          <w:marBottom w:val="0"/>
                          <w:divBdr>
                            <w:top w:val="none" w:sz="0" w:space="0" w:color="auto"/>
                            <w:left w:val="none" w:sz="0" w:space="0" w:color="auto"/>
                            <w:bottom w:val="none" w:sz="0" w:space="0" w:color="auto"/>
                            <w:right w:val="none" w:sz="0" w:space="0" w:color="auto"/>
                          </w:divBdr>
                          <w:divsChild>
                            <w:div w:id="162426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42289">
                      <w:marLeft w:val="0"/>
                      <w:marRight w:val="0"/>
                      <w:marTop w:val="0"/>
                      <w:marBottom w:val="0"/>
                      <w:divBdr>
                        <w:top w:val="none" w:sz="0" w:space="0" w:color="auto"/>
                        <w:left w:val="none" w:sz="0" w:space="0" w:color="auto"/>
                        <w:bottom w:val="none" w:sz="0" w:space="0" w:color="auto"/>
                        <w:right w:val="none" w:sz="0" w:space="0" w:color="auto"/>
                      </w:divBdr>
                      <w:divsChild>
                        <w:div w:id="758672368">
                          <w:marLeft w:val="0"/>
                          <w:marRight w:val="0"/>
                          <w:marTop w:val="0"/>
                          <w:marBottom w:val="0"/>
                          <w:divBdr>
                            <w:top w:val="none" w:sz="0" w:space="0" w:color="auto"/>
                            <w:left w:val="none" w:sz="0" w:space="0" w:color="auto"/>
                            <w:bottom w:val="none" w:sz="0" w:space="0" w:color="auto"/>
                            <w:right w:val="none" w:sz="0" w:space="0" w:color="auto"/>
                          </w:divBdr>
                          <w:divsChild>
                            <w:div w:id="163055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732164">
      <w:bodyDiv w:val="1"/>
      <w:marLeft w:val="0"/>
      <w:marRight w:val="0"/>
      <w:marTop w:val="0"/>
      <w:marBottom w:val="0"/>
      <w:divBdr>
        <w:top w:val="none" w:sz="0" w:space="0" w:color="auto"/>
        <w:left w:val="none" w:sz="0" w:space="0" w:color="auto"/>
        <w:bottom w:val="none" w:sz="0" w:space="0" w:color="auto"/>
        <w:right w:val="none" w:sz="0" w:space="0" w:color="auto"/>
      </w:divBdr>
    </w:div>
    <w:div w:id="2087223113">
      <w:bodyDiv w:val="1"/>
      <w:marLeft w:val="0"/>
      <w:marRight w:val="0"/>
      <w:marTop w:val="0"/>
      <w:marBottom w:val="0"/>
      <w:divBdr>
        <w:top w:val="none" w:sz="0" w:space="0" w:color="auto"/>
        <w:left w:val="none" w:sz="0" w:space="0" w:color="auto"/>
        <w:bottom w:val="none" w:sz="0" w:space="0" w:color="auto"/>
        <w:right w:val="none" w:sz="0" w:space="0" w:color="auto"/>
      </w:divBdr>
      <w:divsChild>
        <w:div w:id="413166733">
          <w:marLeft w:val="0"/>
          <w:marRight w:val="0"/>
          <w:marTop w:val="0"/>
          <w:marBottom w:val="0"/>
          <w:divBdr>
            <w:top w:val="none" w:sz="0" w:space="0" w:color="auto"/>
            <w:left w:val="none" w:sz="0" w:space="0" w:color="auto"/>
            <w:bottom w:val="none" w:sz="0" w:space="0" w:color="auto"/>
            <w:right w:val="none" w:sz="0" w:space="0" w:color="auto"/>
          </w:divBdr>
          <w:divsChild>
            <w:div w:id="836504517">
              <w:marLeft w:val="0"/>
              <w:marRight w:val="0"/>
              <w:marTop w:val="0"/>
              <w:marBottom w:val="0"/>
              <w:divBdr>
                <w:top w:val="none" w:sz="0" w:space="0" w:color="auto"/>
                <w:left w:val="none" w:sz="0" w:space="0" w:color="auto"/>
                <w:bottom w:val="none" w:sz="0" w:space="0" w:color="auto"/>
                <w:right w:val="none" w:sz="0" w:space="0" w:color="auto"/>
              </w:divBdr>
              <w:divsChild>
                <w:div w:id="1964381596">
                  <w:marLeft w:val="0"/>
                  <w:marRight w:val="0"/>
                  <w:marTop w:val="0"/>
                  <w:marBottom w:val="0"/>
                  <w:divBdr>
                    <w:top w:val="none" w:sz="0" w:space="0" w:color="auto"/>
                    <w:left w:val="none" w:sz="0" w:space="0" w:color="auto"/>
                    <w:bottom w:val="none" w:sz="0" w:space="0" w:color="auto"/>
                    <w:right w:val="none" w:sz="0" w:space="0" w:color="auto"/>
                  </w:divBdr>
                </w:div>
                <w:div w:id="253636125">
                  <w:marLeft w:val="0"/>
                  <w:marRight w:val="0"/>
                  <w:marTop w:val="0"/>
                  <w:marBottom w:val="0"/>
                  <w:divBdr>
                    <w:top w:val="none" w:sz="0" w:space="0" w:color="auto"/>
                    <w:left w:val="none" w:sz="0" w:space="0" w:color="auto"/>
                    <w:bottom w:val="none" w:sz="0" w:space="0" w:color="auto"/>
                    <w:right w:val="none" w:sz="0" w:space="0" w:color="auto"/>
                  </w:divBdr>
                </w:div>
                <w:div w:id="866598694">
                  <w:marLeft w:val="0"/>
                  <w:marRight w:val="0"/>
                  <w:marTop w:val="0"/>
                  <w:marBottom w:val="0"/>
                  <w:divBdr>
                    <w:top w:val="none" w:sz="0" w:space="0" w:color="auto"/>
                    <w:left w:val="none" w:sz="0" w:space="0" w:color="auto"/>
                    <w:bottom w:val="none" w:sz="0" w:space="0" w:color="auto"/>
                    <w:right w:val="none" w:sz="0" w:space="0" w:color="auto"/>
                  </w:divBdr>
                </w:div>
                <w:div w:id="779569213">
                  <w:marLeft w:val="0"/>
                  <w:marRight w:val="0"/>
                  <w:marTop w:val="0"/>
                  <w:marBottom w:val="0"/>
                  <w:divBdr>
                    <w:top w:val="none" w:sz="0" w:space="0" w:color="auto"/>
                    <w:left w:val="none" w:sz="0" w:space="0" w:color="auto"/>
                    <w:bottom w:val="none" w:sz="0" w:space="0" w:color="auto"/>
                    <w:right w:val="none" w:sz="0" w:space="0" w:color="auto"/>
                  </w:divBdr>
                </w:div>
                <w:div w:id="2078699719">
                  <w:marLeft w:val="0"/>
                  <w:marRight w:val="0"/>
                  <w:marTop w:val="0"/>
                  <w:marBottom w:val="0"/>
                  <w:divBdr>
                    <w:top w:val="none" w:sz="0" w:space="0" w:color="auto"/>
                    <w:left w:val="none" w:sz="0" w:space="0" w:color="auto"/>
                    <w:bottom w:val="none" w:sz="0" w:space="0" w:color="auto"/>
                    <w:right w:val="none" w:sz="0" w:space="0" w:color="auto"/>
                  </w:divBdr>
                </w:div>
                <w:div w:id="72996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 Id="rId63" Type="http://schemas.openxmlformats.org/officeDocument/2006/relationships/hyperlink" Target="about:blank" TargetMode="External"/><Relationship Id="rId7" Type="http://schemas.openxmlformats.org/officeDocument/2006/relationships/hyperlink" Target="about:blank" TargetMode="External"/><Relationship Id="rId2" Type="http://schemas.openxmlformats.org/officeDocument/2006/relationships/hyperlink" Target="about:blank" TargetMode="External"/><Relationship Id="rId16" Type="http://schemas.openxmlformats.org/officeDocument/2006/relationships/hyperlink" Target="about:blank" TargetMode="External"/><Relationship Id="rId29"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hyperlink" Target="about:blank" TargetMode="External"/><Relationship Id="rId5" Type="http://schemas.openxmlformats.org/officeDocument/2006/relationships/hyperlink" Target="about:blank" TargetMode="External"/><Relationship Id="rId61" Type="http://schemas.openxmlformats.org/officeDocument/2006/relationships/hyperlink" Target="about:blank" TargetMode="External"/><Relationship Id="rId1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56" Type="http://schemas.openxmlformats.org/officeDocument/2006/relationships/hyperlink" Target="about:blank" TargetMode="External"/><Relationship Id="rId8" Type="http://schemas.openxmlformats.org/officeDocument/2006/relationships/hyperlink" Target="about:blank" TargetMode="External"/><Relationship Id="rId51" Type="http://schemas.openxmlformats.org/officeDocument/2006/relationships/hyperlink" Target="about:blank" TargetMode="External"/><Relationship Id="rId3"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59" Type="http://schemas.openxmlformats.org/officeDocument/2006/relationships/hyperlink" Target="about:blank" TargetMode="External"/><Relationship Id="rId20"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hyperlink" Target="about:blank" TargetMode="External"/><Relationship Id="rId62"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57" Type="http://schemas.openxmlformats.org/officeDocument/2006/relationships/hyperlink" Target="about:blank" TargetMode="External"/><Relationship Id="rId10"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 Id="rId60"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54E22D-FBAB-4665-A635-E9810602B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22</Pages>
  <Words>4915</Words>
  <Characters>28017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DoH</Company>
  <LinksUpToDate>false</LinksUpToDate>
  <CharactersWithSpaces>32867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LeongT</dc:creator>
  <cp:lastModifiedBy>Trudy Leong</cp:lastModifiedBy>
  <cp:revision>7</cp:revision>
  <cp:lastPrinted>2016-03-12T10:00:00Z</cp:lastPrinted>
  <dcterms:created xsi:type="dcterms:W3CDTF">2022-10-20T08:27:00Z</dcterms:created>
  <dcterms:modified xsi:type="dcterms:W3CDTF">2022-10-24T18:19:00Z</dcterms:modified>
</cp:coreProperties>
</file>